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26" w:rsidRDefault="00086F09" w:rsidP="00086F09">
      <w:pPr>
        <w:spacing w:line="360" w:lineRule="auto"/>
        <w:jc w:val="center"/>
        <w:rPr>
          <w:b/>
          <w:sz w:val="26"/>
          <w:szCs w:val="26"/>
        </w:rPr>
      </w:pPr>
      <w:r>
        <w:rPr>
          <w:b/>
          <w:sz w:val="26"/>
          <w:szCs w:val="26"/>
        </w:rPr>
        <w:t>The Capital Asset Pricing Model</w:t>
      </w:r>
      <w:bookmarkStart w:id="0" w:name="_GoBack"/>
      <w:bookmarkEnd w:id="0"/>
    </w:p>
    <w:p w:rsidR="00086F09" w:rsidRPr="00A229A5" w:rsidRDefault="00086F09" w:rsidP="00086F09">
      <w:pPr>
        <w:spacing w:line="360" w:lineRule="auto"/>
        <w:jc w:val="center"/>
        <w:rPr>
          <w:b/>
          <w:sz w:val="26"/>
          <w:szCs w:val="26"/>
        </w:rPr>
      </w:pPr>
      <w:r>
        <w:rPr>
          <w:b/>
          <w:sz w:val="26"/>
          <w:szCs w:val="26"/>
        </w:rPr>
        <w:t>From Bodie, Kane and Marcus Chapter 9</w:t>
      </w:r>
    </w:p>
    <w:p w:rsidR="0050303E" w:rsidRPr="003535AE" w:rsidRDefault="0050303E" w:rsidP="003535AE">
      <w:pPr>
        <w:rPr>
          <w:b/>
        </w:rPr>
      </w:pPr>
      <w:r w:rsidRPr="003535AE">
        <w:rPr>
          <w:b/>
        </w:rPr>
        <w:t xml:space="preserve">Introduction </w:t>
      </w:r>
    </w:p>
    <w:p w:rsidR="004C0013" w:rsidRDefault="005F173F" w:rsidP="003535AE">
      <w:r>
        <w:t>Modern Portfolio T</w:t>
      </w:r>
      <w:r w:rsidR="0050303E">
        <w:t xml:space="preserve">heory </w:t>
      </w:r>
      <w:r w:rsidR="004C0013">
        <w:t>(which w</w:t>
      </w:r>
      <w:r w:rsidR="001D200F">
        <w:t>e learned about in the Chapter 7</w:t>
      </w:r>
      <w:r w:rsidR="004C0013">
        <w:t xml:space="preserve"> notes) </w:t>
      </w:r>
      <w:r w:rsidR="0050303E">
        <w:t xml:space="preserve">provides us with tools to select optimal portfolios </w:t>
      </w:r>
      <w:r w:rsidR="0050303E" w:rsidRPr="0050303E">
        <w:rPr>
          <w:i/>
        </w:rPr>
        <w:t xml:space="preserve">given </w:t>
      </w:r>
      <w:r w:rsidR="0050303E">
        <w:t xml:space="preserve">expected returns, variances and covariances. Where do we get these inputs? </w:t>
      </w:r>
    </w:p>
    <w:p w:rsidR="003535AE" w:rsidRDefault="003535AE" w:rsidP="003535AE"/>
    <w:p w:rsidR="004C0013" w:rsidRDefault="004C0013" w:rsidP="003535AE">
      <w:r>
        <w:t>The variances of assets and the covariances</w:t>
      </w:r>
      <w:r w:rsidR="003535AE">
        <w:t xml:space="preserve"> (or correlations)</w:t>
      </w:r>
      <w:r>
        <w:t xml:space="preserve"> between assets are often assumed to remain fairly constant over time. Thus, we will usually calculate what these values have been in the past, make any adjustments that we think should be made to reflect changes that are occurring over </w:t>
      </w:r>
      <w:proofErr w:type="gramStart"/>
      <w:r>
        <w:t>time,</w:t>
      </w:r>
      <w:proofErr w:type="gramEnd"/>
      <w:r>
        <w:t xml:space="preserve"> and then use those numbers.</w:t>
      </w:r>
    </w:p>
    <w:p w:rsidR="00614978" w:rsidRDefault="00614978" w:rsidP="003535AE"/>
    <w:p w:rsidR="00614978" w:rsidRDefault="00614978" w:rsidP="003535AE">
      <w:r>
        <w:t xml:space="preserve">However, we must be certain to remember that what we are looking for is </w:t>
      </w:r>
      <w:r>
        <w:rPr>
          <w:i/>
        </w:rPr>
        <w:t>future</w:t>
      </w:r>
      <w:r>
        <w:t xml:space="preserve"> variances (or standard deviations) and correlations. Since no one knows the future for certain, we are actually determining </w:t>
      </w:r>
      <w:r w:rsidRPr="00614978">
        <w:rPr>
          <w:i/>
        </w:rPr>
        <w:t>expected</w:t>
      </w:r>
      <w:r>
        <w:t xml:space="preserve"> standard deviations just as much as we are determining </w:t>
      </w:r>
      <w:r w:rsidRPr="00614978">
        <w:rPr>
          <w:i/>
        </w:rPr>
        <w:t>expected</w:t>
      </w:r>
      <w:r>
        <w:t xml:space="preserve"> returns. Just because we drop the “expected” term from standard deviations (implying that they are constant over time), doesn’t mean that we aren’t indeed forming expectations rather than calculating certainties. </w:t>
      </w:r>
    </w:p>
    <w:p w:rsidR="00614978" w:rsidRDefault="00614978" w:rsidP="003535AE"/>
    <w:p w:rsidR="00614978" w:rsidRDefault="00614978" w:rsidP="003535AE">
      <w:r>
        <w:t xml:space="preserve">With standard deviations and correlations, the best place to start forming our expectations is by calculating what they have been in the (fairly) recent past. This is only the starting point though – and should not always be considered to be the ending point. Careful evaluation of the individual securities and the economy may cause the analyst to conclude that future standard deviations and correlations may be different from what they were in the past. For this class though, we will calculate past standard deviations and correlations and use them as our </w:t>
      </w:r>
      <w:r w:rsidR="00F9634A">
        <w:t>expectations for the future.</w:t>
      </w:r>
    </w:p>
    <w:p w:rsidR="003535AE" w:rsidRDefault="003535AE" w:rsidP="003535AE"/>
    <w:p w:rsidR="00442FE3" w:rsidRDefault="004C0013" w:rsidP="003535AE">
      <w:r>
        <w:t xml:space="preserve">Expected Returns </w:t>
      </w:r>
      <w:r w:rsidR="004F1478">
        <w:t>however</w:t>
      </w:r>
      <w:r>
        <w:t xml:space="preserve">, are </w:t>
      </w:r>
      <w:r w:rsidR="00F9634A" w:rsidRPr="004F1478">
        <w:rPr>
          <w:b/>
        </w:rPr>
        <w:t>absolutely not</w:t>
      </w:r>
      <w:r w:rsidR="00F9634A">
        <w:t xml:space="preserve"> constant over time and should never be</w:t>
      </w:r>
      <w:r>
        <w:t xml:space="preserve"> found by calculating the actual returns of risky assets in the past and extrapolating those returns into the future. </w:t>
      </w:r>
      <w:r w:rsidR="00442FE3">
        <w:t xml:space="preserve">There is no reason, for example, to believe that because a stock has returned an average return of -3% to investors over the past five years, that it will produce a negative </w:t>
      </w:r>
      <w:proofErr w:type="gramStart"/>
      <w:r w:rsidR="00442FE3">
        <w:t>return</w:t>
      </w:r>
      <w:proofErr w:type="gramEnd"/>
      <w:r w:rsidR="00442FE3">
        <w:t xml:space="preserve"> </w:t>
      </w:r>
      <w:r w:rsidR="00F64F09">
        <w:t>next</w:t>
      </w:r>
      <w:r w:rsidR="00442FE3">
        <w:t xml:space="preserve"> year. </w:t>
      </w:r>
      <w:proofErr w:type="gramStart"/>
      <w:r w:rsidR="00442FE3">
        <w:t>If that was the consensus view among in</w:t>
      </w:r>
      <w:r w:rsidR="004F1478">
        <w:t>vestors, who would buy it</w:t>
      </w:r>
      <w:r w:rsidR="00442FE3">
        <w:t>?</w:t>
      </w:r>
      <w:proofErr w:type="gramEnd"/>
      <w:r w:rsidR="00442FE3">
        <w:t xml:space="preserve"> </w:t>
      </w:r>
    </w:p>
    <w:p w:rsidR="00F9634A" w:rsidRDefault="00F9634A" w:rsidP="003535AE"/>
    <w:p w:rsidR="0050303E" w:rsidRDefault="0050303E" w:rsidP="003535AE">
      <w:r>
        <w:t xml:space="preserve">We need </w:t>
      </w:r>
      <w:r w:rsidRPr="0050303E">
        <w:rPr>
          <w:i/>
        </w:rPr>
        <w:t xml:space="preserve">Asset Pricing Models </w:t>
      </w:r>
      <w:r>
        <w:t xml:space="preserve">to </w:t>
      </w:r>
      <w:r w:rsidR="00F9634A">
        <w:t>help us determine expected returns</w:t>
      </w:r>
      <w:r>
        <w:t xml:space="preserve">. </w:t>
      </w:r>
    </w:p>
    <w:p w:rsidR="00A229A5" w:rsidRDefault="0050303E" w:rsidP="003535AE">
      <w:r>
        <w:t xml:space="preserve">Asset Pricing Models </w:t>
      </w:r>
      <w:r w:rsidR="00442FE3">
        <w:t>can</w:t>
      </w:r>
      <w:r>
        <w:t xml:space="preserve"> be </w:t>
      </w:r>
      <w:r w:rsidRPr="0050303E">
        <w:rPr>
          <w:i/>
        </w:rPr>
        <w:t xml:space="preserve">theoretical </w:t>
      </w:r>
      <w:r>
        <w:t>(derived rigorously from fundamental principles</w:t>
      </w:r>
      <w:r w:rsidR="00D47A82">
        <w:t>)</w:t>
      </w:r>
      <w:r>
        <w:t xml:space="preserve">, or </w:t>
      </w:r>
      <w:r w:rsidRPr="0050303E">
        <w:rPr>
          <w:i/>
        </w:rPr>
        <w:t xml:space="preserve">empirical </w:t>
      </w:r>
      <w:r>
        <w:t>(based on observed relationships in historical data on asset returns).</w:t>
      </w:r>
    </w:p>
    <w:p w:rsidR="00F9634A" w:rsidRDefault="00F9634A" w:rsidP="003535AE"/>
    <w:p w:rsidR="0050303E" w:rsidRDefault="00442FE3" w:rsidP="003535AE">
      <w:r>
        <w:t>The most well-known asset pricing model is The</w:t>
      </w:r>
      <w:r w:rsidR="0050303E">
        <w:t xml:space="preserve"> Capital Asse</w:t>
      </w:r>
      <w:r w:rsidR="00F9634A">
        <w:t>t Pricing Model (</w:t>
      </w:r>
      <w:r w:rsidR="0050303E">
        <w:t>CAPM). The CAPM is</w:t>
      </w:r>
      <w:r w:rsidR="00F9634A">
        <w:t xml:space="preserve"> a theoretical model, one of the simplest and earliest models, and by far, the most widely used model.</w:t>
      </w:r>
    </w:p>
    <w:p w:rsidR="0050303E" w:rsidRDefault="00F9634A" w:rsidP="003535AE">
      <w:r>
        <w:t>Not everyone feels that the CAPM is the best (or truest) asset pricing model, but a sound understanding of it is essential for everyone who studies finance as well as those who want to study more advanced asset pricing models.</w:t>
      </w:r>
    </w:p>
    <w:p w:rsidR="0050303E" w:rsidRPr="00F9634A" w:rsidRDefault="0050303E" w:rsidP="00F9634A">
      <w:pPr>
        <w:rPr>
          <w:b/>
        </w:rPr>
      </w:pPr>
      <w:r w:rsidRPr="00F9634A">
        <w:rPr>
          <w:b/>
        </w:rPr>
        <w:lastRenderedPageBreak/>
        <w:t>Assumptions underlying the CAPM</w:t>
      </w:r>
      <w:r w:rsidR="005F173F">
        <w:rPr>
          <w:b/>
        </w:rPr>
        <w:t xml:space="preserve"> </w:t>
      </w:r>
    </w:p>
    <w:p w:rsidR="0050303E" w:rsidRDefault="0050303E" w:rsidP="00F9634A">
      <w:pPr>
        <w:numPr>
          <w:ilvl w:val="0"/>
          <w:numId w:val="44"/>
        </w:numPr>
      </w:pPr>
      <w:r>
        <w:t xml:space="preserve">Investors are </w:t>
      </w:r>
      <w:r w:rsidR="00177EE4">
        <w:t xml:space="preserve">in </w:t>
      </w:r>
      <w:r w:rsidR="00177EE4" w:rsidRPr="00177EE4">
        <w:rPr>
          <w:i/>
        </w:rPr>
        <w:t xml:space="preserve">perfect competition </w:t>
      </w:r>
      <w:r w:rsidR="00177EE4">
        <w:t>wi</w:t>
      </w:r>
      <w:r w:rsidR="00F9634A">
        <w:t>th each other. T</w:t>
      </w:r>
      <w:r w:rsidR="00177EE4">
        <w:t xml:space="preserve">his means that no </w:t>
      </w:r>
      <w:r w:rsidR="00F9634A">
        <w:t>single</w:t>
      </w:r>
      <w:r w:rsidR="00177EE4">
        <w:t xml:space="preserve"> investor has the ability to influence prices with her/his trade</w:t>
      </w:r>
      <w:r w:rsidR="00F9634A">
        <w:t>s</w:t>
      </w:r>
      <w:r w:rsidR="00177EE4">
        <w:t>.</w:t>
      </w:r>
    </w:p>
    <w:p w:rsidR="00FB6DFC" w:rsidRDefault="00FB6DFC" w:rsidP="00FB6DFC">
      <w:pPr>
        <w:ind w:left="720"/>
      </w:pPr>
    </w:p>
    <w:p w:rsidR="00815832" w:rsidRDefault="00815832" w:rsidP="00F9634A">
      <w:pPr>
        <w:numPr>
          <w:ilvl w:val="0"/>
          <w:numId w:val="44"/>
        </w:numPr>
      </w:pPr>
      <w:r w:rsidRPr="00815832">
        <w:t xml:space="preserve">All investors have the same one-period </w:t>
      </w:r>
      <w:r w:rsidR="004F1478">
        <w:t xml:space="preserve">investment </w:t>
      </w:r>
      <w:r w:rsidRPr="00815832">
        <w:t>horizon.</w:t>
      </w:r>
      <w:r w:rsidR="00177EE4">
        <w:t xml:space="preserve"> The </w:t>
      </w:r>
      <w:r w:rsidR="00F9634A">
        <w:t>CAPM</w:t>
      </w:r>
      <w:r w:rsidR="00177EE4">
        <w:t xml:space="preserve"> does not say whether this period is </w:t>
      </w:r>
      <w:r w:rsidR="00F9634A">
        <w:t>one year, one month or one week, but there is only time zero and time one – there is no time two.</w:t>
      </w:r>
      <w:r>
        <w:t xml:space="preserve"> </w:t>
      </w:r>
    </w:p>
    <w:p w:rsidR="00FB6DFC" w:rsidRPr="005F173F" w:rsidRDefault="00FB6DFC" w:rsidP="00FB6DFC"/>
    <w:p w:rsidR="00815832" w:rsidRPr="005F173F" w:rsidRDefault="00177EE4" w:rsidP="00F9634A">
      <w:pPr>
        <w:numPr>
          <w:ilvl w:val="0"/>
          <w:numId w:val="44"/>
        </w:numPr>
      </w:pPr>
      <w:r w:rsidRPr="005F173F">
        <w:t xml:space="preserve">All investors are </w:t>
      </w:r>
      <w:r w:rsidR="00F9634A" w:rsidRPr="005F173F">
        <w:t xml:space="preserve">risk averse, and </w:t>
      </w:r>
      <w:r w:rsidR="00F9634A" w:rsidRPr="005F173F">
        <w:rPr>
          <w:i/>
        </w:rPr>
        <w:t>the only things</w:t>
      </w:r>
      <w:r w:rsidR="00F9634A" w:rsidRPr="005F173F">
        <w:t xml:space="preserve"> they care about are the expected return of their portfolio its standard deviation.</w:t>
      </w:r>
    </w:p>
    <w:p w:rsidR="00FB6DFC" w:rsidRPr="005F173F" w:rsidRDefault="00FB6DFC" w:rsidP="00FB6DFC"/>
    <w:p w:rsidR="00815832" w:rsidRPr="005F173F" w:rsidRDefault="00177EE4" w:rsidP="00F9634A">
      <w:pPr>
        <w:numPr>
          <w:ilvl w:val="0"/>
          <w:numId w:val="44"/>
        </w:numPr>
      </w:pPr>
      <w:r w:rsidRPr="005F173F">
        <w:t>All investors have homogeneous expectations</w:t>
      </w:r>
      <w:r w:rsidR="00442FE3" w:rsidRPr="005F173F">
        <w:t>.</w:t>
      </w:r>
      <w:r w:rsidRPr="005F173F">
        <w:t xml:space="preserve"> This means all investors calculate the same </w:t>
      </w:r>
      <w:r w:rsidR="00442FE3" w:rsidRPr="005F173F">
        <w:t>E(R)</w:t>
      </w:r>
      <w:r w:rsidR="00D47A82" w:rsidRPr="005F173F">
        <w:t xml:space="preserve"> </w:t>
      </w:r>
      <w:r w:rsidRPr="005F173F">
        <w:t xml:space="preserve">and </w:t>
      </w:r>
      <w:r w:rsidR="00442FE3" w:rsidRPr="005F173F">
        <w:t>σ</w:t>
      </w:r>
      <w:r w:rsidR="00D47A82" w:rsidRPr="005F173F">
        <w:t xml:space="preserve"> </w:t>
      </w:r>
      <w:r w:rsidRPr="005F173F">
        <w:t>for different securities</w:t>
      </w:r>
      <w:r w:rsidR="00815832" w:rsidRPr="005F173F">
        <w:t xml:space="preserve">, and </w:t>
      </w:r>
      <w:r w:rsidR="004C143A" w:rsidRPr="005F173F">
        <w:t>the correlations</w:t>
      </w:r>
      <w:r w:rsidR="00815832" w:rsidRPr="005F173F">
        <w:t xml:space="preserve"> between pairs of securities</w:t>
      </w:r>
      <w:r w:rsidRPr="005F173F">
        <w:t>.</w:t>
      </w:r>
      <w:r w:rsidR="004C143A" w:rsidRPr="005F173F">
        <w:t xml:space="preserve"> Everyone looks at the same information and comes up with the same conclusion.</w:t>
      </w:r>
    </w:p>
    <w:p w:rsidR="00FB6DFC" w:rsidRDefault="00FB6DFC" w:rsidP="00FB6DFC"/>
    <w:p w:rsidR="00177EE4" w:rsidRPr="00815832" w:rsidRDefault="00177EE4" w:rsidP="00F9634A">
      <w:pPr>
        <w:numPr>
          <w:ilvl w:val="0"/>
          <w:numId w:val="44"/>
        </w:numPr>
      </w:pPr>
      <w:r w:rsidRPr="00815832">
        <w:t>Markets are frictionless. This is a collection of assumptions that includes:</w:t>
      </w:r>
    </w:p>
    <w:p w:rsidR="00177EE4" w:rsidRPr="00815832" w:rsidRDefault="00177EE4" w:rsidP="00F9634A">
      <w:pPr>
        <w:numPr>
          <w:ilvl w:val="1"/>
          <w:numId w:val="44"/>
        </w:numPr>
      </w:pPr>
      <w:r w:rsidRPr="00815832">
        <w:t>Investors can borrow or lend any amount</w:t>
      </w:r>
      <w:r w:rsidR="004C143A">
        <w:t xml:space="preserve"> of money</w:t>
      </w:r>
      <w:r w:rsidRPr="00815832">
        <w:t xml:space="preserve"> at the risk-free rate</w:t>
      </w:r>
    </w:p>
    <w:p w:rsidR="00177EE4" w:rsidRPr="00815832" w:rsidRDefault="00177EE4" w:rsidP="00F9634A">
      <w:pPr>
        <w:numPr>
          <w:ilvl w:val="1"/>
          <w:numId w:val="44"/>
        </w:numPr>
      </w:pPr>
      <w:r w:rsidRPr="00815832">
        <w:t xml:space="preserve">All investments are infinitely divisible, which means </w:t>
      </w:r>
      <w:r w:rsidR="004C143A">
        <w:t>you</w:t>
      </w:r>
      <w:r w:rsidRPr="00815832">
        <w:t xml:space="preserve"> can buy or</w:t>
      </w:r>
      <w:r w:rsidR="004C143A">
        <w:t xml:space="preserve"> sell any fraction of any asset</w:t>
      </w:r>
    </w:p>
    <w:p w:rsidR="00177EE4" w:rsidRDefault="00442FE3" w:rsidP="00F9634A">
      <w:pPr>
        <w:numPr>
          <w:ilvl w:val="1"/>
          <w:numId w:val="44"/>
        </w:numPr>
      </w:pPr>
      <w:r>
        <w:t>There are n</w:t>
      </w:r>
      <w:r w:rsidR="00177EE4" w:rsidRPr="00815832">
        <w:t>o taxes or transactions costs</w:t>
      </w:r>
    </w:p>
    <w:p w:rsidR="00FB6DFC" w:rsidRPr="00815832" w:rsidRDefault="00FB6DFC" w:rsidP="00FB6DFC">
      <w:pPr>
        <w:ind w:left="1080"/>
      </w:pPr>
    </w:p>
    <w:p w:rsidR="00442FE3" w:rsidRDefault="00177EE4" w:rsidP="00F9634A">
      <w:pPr>
        <w:numPr>
          <w:ilvl w:val="0"/>
          <w:numId w:val="44"/>
        </w:numPr>
      </w:pPr>
      <w:r w:rsidRPr="00442FE3">
        <w:t>There is no inflation</w:t>
      </w:r>
      <w:r w:rsidR="00442FE3" w:rsidRPr="00442FE3">
        <w:t xml:space="preserve"> or change</w:t>
      </w:r>
      <w:r w:rsidR="004C143A">
        <w:t>s</w:t>
      </w:r>
      <w:r w:rsidR="00442FE3" w:rsidRPr="00442FE3">
        <w:t xml:space="preserve"> in interest rates.</w:t>
      </w:r>
      <w:r w:rsidRPr="00442FE3">
        <w:t xml:space="preserve"> </w:t>
      </w:r>
    </w:p>
    <w:p w:rsidR="00FB6DFC" w:rsidRDefault="00FB6DFC" w:rsidP="00FB6DFC">
      <w:pPr>
        <w:ind w:left="720"/>
      </w:pPr>
    </w:p>
    <w:p w:rsidR="00177EE4" w:rsidRPr="00442FE3" w:rsidRDefault="00177EE4" w:rsidP="00F9634A">
      <w:pPr>
        <w:numPr>
          <w:ilvl w:val="0"/>
          <w:numId w:val="44"/>
        </w:numPr>
      </w:pPr>
      <w:r w:rsidRPr="00442FE3">
        <w:t xml:space="preserve">Capital </w:t>
      </w:r>
      <w:r w:rsidR="004C143A">
        <w:t>Markets are in equilibrium. This</w:t>
      </w:r>
      <w:r w:rsidRPr="00442FE3">
        <w:t xml:space="preserve"> means </w:t>
      </w:r>
      <w:r w:rsidR="004C143A">
        <w:t xml:space="preserve">that </w:t>
      </w:r>
      <w:r w:rsidRPr="00442FE3">
        <w:t>all securities are properly priced taking into account their risk</w:t>
      </w:r>
      <w:r w:rsidR="004C143A">
        <w:t xml:space="preserve"> and that prices ad</w:t>
      </w:r>
      <w:r w:rsidR="00442FE3">
        <w:t>just instantly to any new information</w:t>
      </w:r>
      <w:r w:rsidRPr="00442FE3">
        <w:t>.</w:t>
      </w:r>
    </w:p>
    <w:p w:rsidR="00177EE4" w:rsidRPr="00815832" w:rsidRDefault="00177EE4" w:rsidP="00FB6DFC"/>
    <w:p w:rsidR="00177EE4" w:rsidRDefault="00177EE4" w:rsidP="00FB6DFC">
      <w:r w:rsidRPr="00815832">
        <w:t xml:space="preserve">These assumptions are clearly very stringent and nobody is naïve enough to believe that these assumptions are </w:t>
      </w:r>
      <w:r w:rsidRPr="004F1478">
        <w:rPr>
          <w:iCs/>
        </w:rPr>
        <w:t>actually true</w:t>
      </w:r>
      <w:r w:rsidRPr="00815832">
        <w:t>.</w:t>
      </w:r>
      <w:r w:rsidR="004F1478">
        <w:t xml:space="preserve"> In fact, if they were true, we wouldn’t have to call them assumptions.</w:t>
      </w:r>
      <w:r w:rsidRPr="00815832">
        <w:t xml:space="preserve"> However, the nature of these assumptions is the price we pay for the simple, yet powerful, results of this theory. Many of these assumptions can be, and have been, relaxed. In most cases the basic intuition is still the same (even though the algebra and calculations get a lot messier)</w:t>
      </w:r>
      <w:r w:rsidR="00815832">
        <w:t>.</w:t>
      </w:r>
    </w:p>
    <w:p w:rsidR="00442FE3" w:rsidRPr="00815832" w:rsidRDefault="00442FE3" w:rsidP="00FB6DFC"/>
    <w:p w:rsidR="00A229A5" w:rsidRDefault="00A229A5" w:rsidP="00FB6DFC"/>
    <w:p w:rsidR="00815832" w:rsidRPr="00FB6DFC" w:rsidRDefault="00815832" w:rsidP="00FB6DFC">
      <w:pPr>
        <w:rPr>
          <w:b/>
        </w:rPr>
      </w:pPr>
      <w:r w:rsidRPr="00FB6DFC">
        <w:rPr>
          <w:b/>
        </w:rPr>
        <w:t xml:space="preserve">The </w:t>
      </w:r>
      <w:r w:rsidR="0037408E" w:rsidRPr="00FB6DFC">
        <w:rPr>
          <w:b/>
        </w:rPr>
        <w:t>Market Portfolio</w:t>
      </w:r>
    </w:p>
    <w:p w:rsidR="00815832" w:rsidRDefault="009A39ED" w:rsidP="00FB6DFC">
      <w:r>
        <w:t xml:space="preserve">The above assumptions mean that </w:t>
      </w:r>
      <w:r w:rsidRPr="009A39ED">
        <w:rPr>
          <w:i/>
        </w:rPr>
        <w:t xml:space="preserve">every </w:t>
      </w:r>
      <w:r>
        <w:t xml:space="preserve">investor solves an identical </w:t>
      </w:r>
      <w:r w:rsidR="00FB6DFC">
        <w:t>constrained</w:t>
      </w:r>
      <w:r>
        <w:t xml:space="preserve"> optimization problem, obtains the same </w:t>
      </w:r>
      <w:r w:rsidR="00FB6DFC">
        <w:t>efficient</w:t>
      </w:r>
      <w:r>
        <w:t xml:space="preserve"> frontier, and decides to invest in a combination of:</w:t>
      </w:r>
    </w:p>
    <w:p w:rsidR="009A39ED" w:rsidRDefault="009A39ED" w:rsidP="00FB6DFC">
      <w:pPr>
        <w:numPr>
          <w:ilvl w:val="0"/>
          <w:numId w:val="45"/>
        </w:numPr>
      </w:pPr>
      <w:r>
        <w:t>The risk-free asset</w:t>
      </w:r>
    </w:p>
    <w:p w:rsidR="00D33D2C" w:rsidRDefault="00D33D2C" w:rsidP="00FB6DFC">
      <w:pPr>
        <w:numPr>
          <w:ilvl w:val="0"/>
          <w:numId w:val="45"/>
        </w:numPr>
      </w:pPr>
      <w:r>
        <w:t>The MVE (optimal risky) portfolio</w:t>
      </w:r>
    </w:p>
    <w:p w:rsidR="00FB6DFC" w:rsidRDefault="00D33D2C" w:rsidP="00FB6DFC">
      <w:r>
        <w:t xml:space="preserve">The key question to ask is: If every investor holds the </w:t>
      </w:r>
      <w:r w:rsidRPr="00D33D2C">
        <w:rPr>
          <w:i/>
        </w:rPr>
        <w:t xml:space="preserve">same </w:t>
      </w:r>
      <w:r>
        <w:t>risky portfolio</w:t>
      </w:r>
      <w:r w:rsidR="00FB6DFC">
        <w:t xml:space="preserve"> (the MVE)</w:t>
      </w:r>
      <w:r>
        <w:t xml:space="preserve">, what </w:t>
      </w:r>
      <w:r w:rsidR="00FB6DFC">
        <w:t>assets make up the MVE</w:t>
      </w:r>
      <w:r>
        <w:t xml:space="preserve">? </w:t>
      </w:r>
    </w:p>
    <w:p w:rsidR="00623914" w:rsidRDefault="00D33D2C" w:rsidP="00FB6DFC">
      <w:r>
        <w:t xml:space="preserve">The answer to this question is the key to the CAPM. </w:t>
      </w:r>
    </w:p>
    <w:p w:rsidR="0031199F" w:rsidRDefault="0031199F" w:rsidP="00623914"/>
    <w:p w:rsidR="005F173F" w:rsidRDefault="005F173F" w:rsidP="00623914">
      <w:r>
        <w:lastRenderedPageBreak/>
        <w:t xml:space="preserve">It can be proven that when the opportunity set contains </w:t>
      </w:r>
      <w:r w:rsidRPr="005F173F">
        <w:rPr>
          <w:b/>
        </w:rPr>
        <w:t>all</w:t>
      </w:r>
      <w:r>
        <w:t xml:space="preserve"> risky assets and all combinations of risky assets, the MVE </w:t>
      </w:r>
      <w:r w:rsidRPr="005F173F">
        <w:rPr>
          <w:b/>
        </w:rPr>
        <w:t>must</w:t>
      </w:r>
      <w:r>
        <w:t xml:space="preserve"> be the market </w:t>
      </w:r>
      <w:proofErr w:type="spellStart"/>
      <w:r>
        <w:t>portfolio.Intuitively</w:t>
      </w:r>
      <w:proofErr w:type="spellEnd"/>
      <w:r>
        <w:t>, this makes sense, because if every investor chooses to invest in the same MVE, the MVE must contain all risky assets, or otherwise there would be risky assets that no one would own and their price wou</w:t>
      </w:r>
      <w:r w:rsidR="002B6DDC">
        <w:t xml:space="preserve">ld fall to zero (when, of course, investors would begin to add it to their portfolios). </w:t>
      </w:r>
    </w:p>
    <w:p w:rsidR="005F173F" w:rsidRPr="00B6631C" w:rsidRDefault="005F173F" w:rsidP="00623914"/>
    <w:p w:rsidR="0031199F" w:rsidRPr="00B6631C" w:rsidRDefault="0031199F" w:rsidP="00623914"/>
    <w:p w:rsidR="00B6631C" w:rsidRDefault="00B6631C" w:rsidP="0031199F">
      <w:r>
        <w:t xml:space="preserve">The </w:t>
      </w:r>
      <w:r w:rsidRPr="0031199F">
        <w:t>market portfolio</w:t>
      </w:r>
      <w:r>
        <w:t xml:space="preserve"> is a portfolio of all risky assets in the economy, with each asset in proportion to its market value. </w:t>
      </w:r>
      <w:proofErr w:type="gramStart"/>
      <w:r>
        <w:t>i.e</w:t>
      </w:r>
      <w:proofErr w:type="gramEnd"/>
      <w:r>
        <w:t>. the weight of each asset i in the market portfolio is:</w:t>
      </w:r>
    </w:p>
    <w:p w:rsidR="0031199F" w:rsidRDefault="0031199F" w:rsidP="0031199F"/>
    <w:p w:rsidR="00B6631C" w:rsidRPr="00304853" w:rsidRDefault="00B6631C" w:rsidP="0031199F">
      <w:r w:rsidRPr="00304853">
        <w:rPr>
          <w:position w:val="-28"/>
        </w:rPr>
        <w:object w:dxaOrig="50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2.75pt;height:33pt" o:ole="">
            <v:imagedata r:id="rId7" o:title=""/>
          </v:shape>
          <o:OLEObject Type="Embed" ProgID="Equation.DSMT4" ShapeID="_x0000_i1026" DrawAspect="Content" ObjectID="_1521292943" r:id="rId8"/>
        </w:object>
      </w:r>
    </w:p>
    <w:p w:rsidR="002B6DDC" w:rsidRDefault="002B6DDC" w:rsidP="00485118"/>
    <w:p w:rsidR="00F91F22" w:rsidRDefault="00B6631C" w:rsidP="00485118">
      <w:r>
        <w:t xml:space="preserve">This means that </w:t>
      </w:r>
      <w:r w:rsidR="00485118">
        <w:t xml:space="preserve">under these assumptions, </w:t>
      </w:r>
      <w:r>
        <w:t xml:space="preserve">the only portfolio held by </w:t>
      </w:r>
      <w:r w:rsidR="00485118">
        <w:t xml:space="preserve">any and </w:t>
      </w:r>
      <w:r>
        <w:t xml:space="preserve">all investors </w:t>
      </w:r>
      <w:r w:rsidR="00485118">
        <w:t>(</w:t>
      </w:r>
      <w:r>
        <w:t>in addition to the risk-free asset</w:t>
      </w:r>
      <w:r w:rsidR="00485118">
        <w:t>)</w:t>
      </w:r>
      <w:r>
        <w:t xml:space="preserve"> is the market portfolio</w:t>
      </w:r>
      <w:r w:rsidR="00F91F22">
        <w:t xml:space="preserve">. </w:t>
      </w:r>
    </w:p>
    <w:p w:rsidR="00F91F22" w:rsidRDefault="00F91F22" w:rsidP="00485118"/>
    <w:p w:rsidR="00485118" w:rsidRDefault="00485118" w:rsidP="00485118">
      <w:r>
        <w:t>So,</w:t>
      </w:r>
      <w:r w:rsidR="00F91F22">
        <w:t xml:space="preserve"> under the CAPM assumptions, we </w:t>
      </w:r>
      <w:r>
        <w:t>don’t need to solve for the MVE as we did when we were looking at only 8 risky assets</w:t>
      </w:r>
      <w:r w:rsidR="00F91F22">
        <w:t xml:space="preserve"> </w:t>
      </w:r>
      <w:r w:rsidR="00112D35">
        <w:t xml:space="preserve">(this is good news since Solver probably won’t accommodate every risky asset in the economy). </w:t>
      </w:r>
    </w:p>
    <w:p w:rsidR="00B6631C" w:rsidRDefault="00F91F22" w:rsidP="00485118">
      <w:r>
        <w:t xml:space="preserve">We </w:t>
      </w:r>
      <w:r w:rsidRPr="00F91F22">
        <w:rPr>
          <w:i/>
        </w:rPr>
        <w:t xml:space="preserve">know </w:t>
      </w:r>
      <w:r>
        <w:t>that the optimal portfolio</w:t>
      </w:r>
      <w:r w:rsidR="004F1478">
        <w:t xml:space="preserve"> (the MVE)</w:t>
      </w:r>
      <w:r>
        <w:t xml:space="preserve"> </w:t>
      </w:r>
      <w:r w:rsidRPr="004F1478">
        <w:t>will be</w:t>
      </w:r>
      <w:r w:rsidRPr="00F91F22">
        <w:rPr>
          <w:i/>
        </w:rPr>
        <w:t xml:space="preserve"> </w:t>
      </w:r>
      <w:r>
        <w:t>the market portfolio.</w:t>
      </w:r>
    </w:p>
    <w:p w:rsidR="00485118" w:rsidRDefault="00485118" w:rsidP="00485118"/>
    <w:p w:rsidR="00485118" w:rsidRDefault="00D4749C" w:rsidP="00485118">
      <w:r w:rsidRPr="00112D35">
        <w:t xml:space="preserve">Let’s say some new information comes out that makes you believe that </w:t>
      </w:r>
      <w:r w:rsidR="002B6DDC">
        <w:t>a particular stock</w:t>
      </w:r>
      <w:r w:rsidRPr="00112D35">
        <w:t xml:space="preserve"> is underpriced, so </w:t>
      </w:r>
      <w:r w:rsidR="00485118">
        <w:t>you determine</w:t>
      </w:r>
      <w:r w:rsidRPr="00112D35">
        <w:t xml:space="preserve"> </w:t>
      </w:r>
      <w:r w:rsidR="002B6DDC">
        <w:t>that you should hold</w:t>
      </w:r>
      <w:r w:rsidRPr="00112D35">
        <w:t xml:space="preserve"> a bit more </w:t>
      </w:r>
      <w:r w:rsidR="002B6DDC">
        <w:t>of it</w:t>
      </w:r>
      <w:r w:rsidRPr="00112D35">
        <w:t xml:space="preserve"> in </w:t>
      </w:r>
      <w:r w:rsidRPr="00485118">
        <w:t>your</w:t>
      </w:r>
      <w:r w:rsidRPr="00112D35">
        <w:t xml:space="preserve"> MVE portfolio. </w:t>
      </w:r>
    </w:p>
    <w:p w:rsidR="00485118" w:rsidRDefault="00485118" w:rsidP="00485118">
      <w:r>
        <w:t>But</w:t>
      </w:r>
      <w:r w:rsidR="00D4749C" w:rsidRPr="00112D35">
        <w:t xml:space="preserve"> </w:t>
      </w:r>
      <w:r>
        <w:t xml:space="preserve">(under the CAPM assumptions), </w:t>
      </w:r>
      <w:r w:rsidR="00D4749C" w:rsidRPr="00112D35">
        <w:t xml:space="preserve">at the exact same moment, every other investor is </w:t>
      </w:r>
      <w:r>
        <w:t>coming up with the exact same conclusion</w:t>
      </w:r>
      <w:r w:rsidR="00D4749C" w:rsidRPr="00112D35">
        <w:t xml:space="preserve">, and everyone will add a bit more of </w:t>
      </w:r>
      <w:r w:rsidR="002B6DDC">
        <w:t>it</w:t>
      </w:r>
      <w:r w:rsidR="00D4749C" w:rsidRPr="00112D35">
        <w:t xml:space="preserve"> to </w:t>
      </w:r>
      <w:r w:rsidR="00D4749C" w:rsidRPr="00112D35">
        <w:rPr>
          <w:i/>
        </w:rPr>
        <w:t xml:space="preserve">their </w:t>
      </w:r>
      <w:r w:rsidR="00D4749C" w:rsidRPr="00112D35">
        <w:t xml:space="preserve">MVE portfolios. </w:t>
      </w:r>
    </w:p>
    <w:p w:rsidR="00D4749C" w:rsidRDefault="00D4749C" w:rsidP="00485118">
      <w:r w:rsidRPr="00112D35">
        <w:t xml:space="preserve">The aggregate effect of this will be to increase the proportion of </w:t>
      </w:r>
      <w:r w:rsidR="002B6DDC">
        <w:t>this stock</w:t>
      </w:r>
      <w:r w:rsidRPr="00112D35">
        <w:t xml:space="preserve"> in the </w:t>
      </w:r>
      <w:r w:rsidRPr="00112D35">
        <w:rPr>
          <w:i/>
        </w:rPr>
        <w:t>market portfolio</w:t>
      </w:r>
      <w:r w:rsidR="002B6DDC">
        <w:t>.</w:t>
      </w:r>
    </w:p>
    <w:p w:rsidR="00D4749C" w:rsidRDefault="00D4749C" w:rsidP="00485118">
      <w:r w:rsidRPr="00112D35">
        <w:t>Since the market is in equilibrium</w:t>
      </w:r>
      <w:r w:rsidRPr="00112D35">
        <w:rPr>
          <w:i/>
        </w:rPr>
        <w:t xml:space="preserve"> </w:t>
      </w:r>
      <w:r w:rsidRPr="00485118">
        <w:t>at all times</w:t>
      </w:r>
      <w:r w:rsidR="00485118">
        <w:t xml:space="preserve"> (another one of the assumptions)</w:t>
      </w:r>
      <w:r w:rsidRPr="00112D35">
        <w:t xml:space="preserve">, </w:t>
      </w:r>
      <w:r w:rsidR="002B6DDC">
        <w:t>all these changes take place instantaneously. There is no opportunity for any single investor to “beat the market”.</w:t>
      </w:r>
      <w:r w:rsidRPr="00112D35">
        <w:t xml:space="preserve"> This suggest</w:t>
      </w:r>
      <w:r w:rsidR="00112D35" w:rsidRPr="00112D35">
        <w:t>s</w:t>
      </w:r>
      <w:r w:rsidRPr="00112D35">
        <w:t xml:space="preserve"> that </w:t>
      </w:r>
      <w:r w:rsidR="002B6DDC">
        <w:t xml:space="preserve">our risk-averse </w:t>
      </w:r>
      <w:r w:rsidRPr="00112D35">
        <w:t xml:space="preserve">investors </w:t>
      </w:r>
      <w:r w:rsidR="002B6DDC">
        <w:t xml:space="preserve">will </w:t>
      </w:r>
      <w:r w:rsidRPr="00112D35">
        <w:t>do the following:</w:t>
      </w:r>
    </w:p>
    <w:p w:rsidR="00485118" w:rsidRDefault="00485118" w:rsidP="00485118"/>
    <w:p w:rsidR="00B6631C" w:rsidRDefault="00D4749C" w:rsidP="00485118">
      <w:r w:rsidRPr="00D4749C">
        <w:rPr>
          <w:u w:val="single"/>
        </w:rPr>
        <w:t>Step 1</w:t>
      </w:r>
      <w:r>
        <w:t xml:space="preserve">: </w:t>
      </w:r>
      <w:r w:rsidR="00112D35">
        <w:t>Their investment in risky assets is only into</w:t>
      </w:r>
      <w:r w:rsidR="00B6631C" w:rsidRPr="00D33D2C">
        <w:t xml:space="preserve"> the </w:t>
      </w:r>
      <w:r w:rsidR="00B6631C">
        <w:t>MVE</w:t>
      </w:r>
      <w:r w:rsidR="00B6631C" w:rsidRPr="00D33D2C">
        <w:t xml:space="preserve"> portfolio. This is their </w:t>
      </w:r>
      <w:r w:rsidR="00B6631C" w:rsidRPr="00D33D2C">
        <w:rPr>
          <w:i/>
          <w:iCs/>
        </w:rPr>
        <w:t>investment decision</w:t>
      </w:r>
      <w:r w:rsidR="00B6631C" w:rsidRPr="00D33D2C">
        <w:t>.</w:t>
      </w:r>
      <w:r w:rsidR="00485118">
        <w:t xml:space="preserve"> Everyone will reach the same investment decision.</w:t>
      </w:r>
    </w:p>
    <w:p w:rsidR="00485118" w:rsidRPr="00D33D2C" w:rsidRDefault="00485118" w:rsidP="00485118"/>
    <w:p w:rsidR="00B6631C" w:rsidRDefault="00D4749C" w:rsidP="00485118">
      <w:r w:rsidRPr="00D4749C">
        <w:rPr>
          <w:u w:val="single"/>
        </w:rPr>
        <w:t>Step 2</w:t>
      </w:r>
      <w:r>
        <w:t xml:space="preserve">: </w:t>
      </w:r>
      <w:r w:rsidR="00B6631C" w:rsidRPr="00D33D2C">
        <w:t>Now, to attain their preferred point along the C</w:t>
      </w:r>
      <w:r w:rsidR="00B6631C">
        <w:t>A</w:t>
      </w:r>
      <w:r w:rsidR="00B6631C" w:rsidRPr="00D33D2C">
        <w:t xml:space="preserve">L, they will decide how much to </w:t>
      </w:r>
      <w:r w:rsidR="00B6631C" w:rsidRPr="00485118">
        <w:rPr>
          <w:iCs/>
        </w:rPr>
        <w:t>borrow</w:t>
      </w:r>
      <w:r w:rsidR="00B6631C" w:rsidRPr="00D33D2C">
        <w:rPr>
          <w:i/>
          <w:iCs/>
        </w:rPr>
        <w:t xml:space="preserve"> </w:t>
      </w:r>
      <w:r w:rsidR="00B6631C" w:rsidRPr="00D33D2C">
        <w:t xml:space="preserve">or </w:t>
      </w:r>
      <w:r w:rsidR="00B6631C" w:rsidRPr="00485118">
        <w:rPr>
          <w:iCs/>
        </w:rPr>
        <w:t>lend</w:t>
      </w:r>
      <w:r w:rsidR="00B6631C" w:rsidRPr="00D33D2C">
        <w:rPr>
          <w:i/>
          <w:iCs/>
        </w:rPr>
        <w:t xml:space="preserve"> </w:t>
      </w:r>
      <w:r w:rsidR="00B6631C" w:rsidRPr="00D33D2C">
        <w:t xml:space="preserve">at the risk-free rate. This is their </w:t>
      </w:r>
      <w:r w:rsidR="00B6631C" w:rsidRPr="00D33D2C">
        <w:rPr>
          <w:i/>
          <w:iCs/>
        </w:rPr>
        <w:t>financing decision</w:t>
      </w:r>
      <w:r w:rsidR="00B6631C" w:rsidRPr="00D33D2C">
        <w:t xml:space="preserve">. </w:t>
      </w:r>
      <w:r w:rsidR="00485118">
        <w:t>Everyone will reach different financing decisions, based on their coefficients of risk aversion (A) and what the risk-free rate is.</w:t>
      </w:r>
    </w:p>
    <w:p w:rsidR="00B6631C" w:rsidRDefault="00B6631C" w:rsidP="00485118"/>
    <w:p w:rsidR="00485118" w:rsidRDefault="00485118" w:rsidP="00485118">
      <w:pPr>
        <w:rPr>
          <w:b/>
        </w:rPr>
      </w:pPr>
    </w:p>
    <w:p w:rsidR="00485118" w:rsidRDefault="00485118" w:rsidP="00485118">
      <w:pPr>
        <w:rPr>
          <w:b/>
        </w:rPr>
      </w:pPr>
    </w:p>
    <w:p w:rsidR="00485118" w:rsidRDefault="00485118" w:rsidP="00485118">
      <w:pPr>
        <w:rPr>
          <w:b/>
        </w:rPr>
      </w:pPr>
    </w:p>
    <w:p w:rsidR="002B6DDC" w:rsidRDefault="002B6DDC" w:rsidP="00485118">
      <w:pPr>
        <w:rPr>
          <w:b/>
        </w:rPr>
      </w:pPr>
    </w:p>
    <w:p w:rsidR="00D4749C" w:rsidRPr="00485118" w:rsidRDefault="00D4749C" w:rsidP="00485118">
      <w:pPr>
        <w:rPr>
          <w:b/>
        </w:rPr>
      </w:pPr>
      <w:r w:rsidRPr="00485118">
        <w:rPr>
          <w:b/>
        </w:rPr>
        <w:lastRenderedPageBreak/>
        <w:t>The Capital Market Line</w:t>
      </w:r>
    </w:p>
    <w:p w:rsidR="00D4749C" w:rsidRDefault="00D4749C" w:rsidP="00485118">
      <w:r>
        <w:t xml:space="preserve">The Capital Market Line (CML) is nothing but our old Capital Allocation Line (CAL) with the knowledge that the MVE portfolio is the market portfolio. </w:t>
      </w:r>
    </w:p>
    <w:p w:rsidR="00112D35" w:rsidRDefault="00112D35" w:rsidP="00FC6F58">
      <w:pPr>
        <w:spacing w:line="360" w:lineRule="auto"/>
        <w:ind w:firstLine="720"/>
        <w:jc w:val="both"/>
      </w:pPr>
    </w:p>
    <w:p w:rsidR="00F82A3A" w:rsidRDefault="00F82A3A" w:rsidP="00FC6F58">
      <w:pPr>
        <w:spacing w:line="360" w:lineRule="auto"/>
        <w:ind w:firstLine="720"/>
        <w:jc w:val="both"/>
      </w:pPr>
      <w:r>
        <w:rPr>
          <w:noProof/>
        </w:rPr>
        <w:pict>
          <v:line id="_x0000_s1156" style="position:absolute;left:0;text-align:left;z-index:5" from="81pt,162pt" to="99pt,162pt">
            <v:stroke endarrow="block"/>
          </v:line>
        </w:pict>
      </w:r>
      <w:r>
        <w:rPr>
          <w:noProof/>
        </w:rPr>
        <w:pict>
          <v:shapetype id="_x0000_t202" coordsize="21600,21600" o:spt="202" path="m,l,21600r21600,l21600,xe">
            <v:stroke joinstyle="miter"/>
            <v:path gradientshapeok="t" o:connecttype="rect"/>
          </v:shapetype>
          <v:shape id="_x0000_s1153" type="#_x0000_t202" style="position:absolute;left:0;text-align:left;margin-left:63pt;margin-top:153pt;width:27pt;height:26.05pt;z-index:2" stroked="f">
            <v:textbox>
              <w:txbxContent>
                <w:p w:rsidR="007A1B60" w:rsidRDefault="007A1B60">
                  <w:proofErr w:type="spellStart"/>
                  <w:proofErr w:type="gramStart"/>
                  <w:r>
                    <w:t>r</w:t>
                  </w:r>
                  <w:r w:rsidRPr="00F82A3A">
                    <w:rPr>
                      <w:vertAlign w:val="subscript"/>
                    </w:rPr>
                    <w:t>f</w:t>
                  </w:r>
                  <w:proofErr w:type="spellEnd"/>
                  <w:proofErr w:type="gramEnd"/>
                </w:p>
              </w:txbxContent>
            </v:textbox>
          </v:shape>
        </w:pict>
      </w:r>
      <w:r w:rsidR="00FC6F58">
        <w:rPr>
          <w:noProof/>
        </w:rPr>
        <w:pict>
          <v:shape id="_x0000_s1147" type="#_x0000_t202" style="position:absolute;left:0;text-align:left;margin-left:297pt;margin-top:86.2pt;width:1in;height:36pt;z-index:3" stroked="f">
            <v:textbox style="mso-next-textbox:#_x0000_s1147">
              <w:txbxContent>
                <w:p w:rsidR="007A1B60" w:rsidRDefault="007A1B60" w:rsidP="00FC6F58">
                  <w:r>
                    <w:t xml:space="preserve">Market </w:t>
                  </w:r>
                </w:p>
                <w:p w:rsidR="007A1B60" w:rsidRDefault="007A1B60" w:rsidP="00FC6F58">
                  <w:r>
                    <w:t>Portfolio</w:t>
                  </w:r>
                </w:p>
              </w:txbxContent>
            </v:textbox>
          </v:shape>
        </w:pict>
      </w:r>
      <w:r w:rsidR="00FC6F58">
        <w:rPr>
          <w:noProof/>
          <w:sz w:val="26"/>
          <w:szCs w:val="26"/>
        </w:rPr>
        <w:pict>
          <v:line id="_x0000_s1150" style="position:absolute;left:0;text-align:left;flip:x y;z-index:4" from="4in,86.2pt" to="297pt,95.2pt">
            <v:stroke endarrow="block"/>
          </v:line>
        </w:pict>
      </w:r>
      <w:bookmarkStart w:id="1" w:name="_MON_1090664827"/>
      <w:bookmarkStart w:id="2" w:name="_MON_1090664857"/>
      <w:bookmarkStart w:id="3" w:name="_MON_1090665105"/>
      <w:bookmarkEnd w:id="1"/>
      <w:bookmarkEnd w:id="2"/>
      <w:bookmarkEnd w:id="3"/>
      <w:r>
        <w:object w:dxaOrig="8112" w:dyaOrig="5742">
          <v:shape id="_x0000_i1027" type="#_x0000_t75" style="width:405.75pt;height:287.25pt" o:ole="">
            <v:imagedata r:id="rId9" o:title=""/>
          </v:shape>
          <o:OLEObject Type="Embed" ProgID="Excel.Chart.8" ShapeID="_x0000_i1027" DrawAspect="Content" ObjectID="_1521292944" r:id="rId10">
            <o:FieldCodes>\s</o:FieldCodes>
          </o:OLEObject>
        </w:object>
      </w:r>
    </w:p>
    <w:p w:rsidR="00485118" w:rsidRDefault="002B6DDC" w:rsidP="00485118">
      <w:r>
        <w:t>Since the CML is further</w:t>
      </w:r>
      <w:r w:rsidR="006C3D87">
        <w:t xml:space="preserve"> northwest than any other asset</w:t>
      </w:r>
      <w:r>
        <w:t>, a</w:t>
      </w:r>
      <w:r w:rsidR="00F82A3A">
        <w:t>ll efficient portfolios lie along the CML</w:t>
      </w:r>
      <w:r w:rsidR="00485118">
        <w:t xml:space="preserve">, and are combinations of </w:t>
      </w:r>
      <w:proofErr w:type="gramStart"/>
      <w:r w:rsidR="00485118">
        <w:t>R</w:t>
      </w:r>
      <w:r w:rsidR="00485118">
        <w:rPr>
          <w:vertAlign w:val="subscript"/>
        </w:rPr>
        <w:t>f</w:t>
      </w:r>
      <w:proofErr w:type="gramEnd"/>
      <w:r w:rsidR="00485118">
        <w:t xml:space="preserve"> and the Market Portfolio</w:t>
      </w:r>
      <w:r w:rsidR="00F82A3A">
        <w:t xml:space="preserve">. </w:t>
      </w:r>
    </w:p>
    <w:p w:rsidR="008171C9" w:rsidRDefault="008171C9" w:rsidP="00485118"/>
    <w:p w:rsidR="008171C9" w:rsidRDefault="008171C9" w:rsidP="00485118">
      <w:r>
        <w:t xml:space="preserve">Since the only risky asset that investors will invest in is the market portfolio, the definition of risk for an individual asset will not be its standard deviation, </w:t>
      </w:r>
      <w:r w:rsidR="006C3D87">
        <w:t>bu</w:t>
      </w:r>
      <w:r>
        <w:t>t how it affects the standard deviation of the market portfolio.</w:t>
      </w:r>
    </w:p>
    <w:p w:rsidR="008171C9" w:rsidRDefault="008171C9" w:rsidP="00485118"/>
    <w:p w:rsidR="008171C9" w:rsidRDefault="006C3D87" w:rsidP="00485118">
      <w:r>
        <w:t>The market portfolio is our</w:t>
      </w:r>
      <w:r w:rsidR="008171C9">
        <w:t xml:space="preserve"> “team”, and we evaluate each member of our team (each individual asset), not by how they perform on their own, but by how they contribute to the performance of the team. So how does an individual asset affect the standard deviation of the market portfolio?</w:t>
      </w:r>
    </w:p>
    <w:p w:rsidR="00485118" w:rsidRDefault="00485118" w:rsidP="00485118"/>
    <w:p w:rsidR="00F64F09" w:rsidRDefault="00F64F09" w:rsidP="00970B93"/>
    <w:p w:rsidR="0037408E" w:rsidRDefault="0037408E" w:rsidP="00970B93">
      <w:pPr>
        <w:rPr>
          <w:b/>
        </w:rPr>
      </w:pPr>
      <w:r w:rsidRPr="00970B93">
        <w:rPr>
          <w:b/>
        </w:rPr>
        <w:t>The Pricing Model</w:t>
      </w:r>
    </w:p>
    <w:p w:rsidR="00970B93" w:rsidRPr="00970B93" w:rsidRDefault="00970B93" w:rsidP="00970B93">
      <w:pPr>
        <w:rPr>
          <w:b/>
        </w:rPr>
      </w:pPr>
    </w:p>
    <w:p w:rsidR="0037408E" w:rsidRDefault="0037408E" w:rsidP="00970B93">
      <w:r>
        <w:t>CAPM: T</w:t>
      </w:r>
      <w:r w:rsidR="00F82403">
        <w:t>he expected return of any asset i</w:t>
      </w:r>
      <w:r>
        <w:t xml:space="preserve"> </w:t>
      </w:r>
      <w:proofErr w:type="gramStart"/>
      <w:r>
        <w:t>satisfies</w:t>
      </w:r>
      <w:proofErr w:type="gramEnd"/>
      <w:r w:rsidR="00F82403">
        <w:t xml:space="preserve"> the following</w:t>
      </w:r>
      <w:r>
        <w:t>:</w:t>
      </w:r>
    </w:p>
    <w:p w:rsidR="00970B93" w:rsidRDefault="00970B93" w:rsidP="00970B93"/>
    <w:p w:rsidR="00C16183" w:rsidRPr="008171C9" w:rsidRDefault="00F82403" w:rsidP="00970B93">
      <w:proofErr w:type="gramStart"/>
      <w:r>
        <w:t>E(</w:t>
      </w:r>
      <w:proofErr w:type="spellStart"/>
      <w:proofErr w:type="gramEnd"/>
      <w:r>
        <w:t>R</w:t>
      </w:r>
      <w:r>
        <w:rPr>
          <w:vertAlign w:val="subscript"/>
        </w:rPr>
        <w:t>i</w:t>
      </w:r>
      <w:proofErr w:type="spellEnd"/>
      <w:r>
        <w:t>)</w:t>
      </w:r>
      <w:r w:rsidR="00970B93">
        <w:t xml:space="preserve"> = R</w:t>
      </w:r>
      <w:r w:rsidR="00970B93">
        <w:rPr>
          <w:vertAlign w:val="subscript"/>
        </w:rPr>
        <w:t>f</w:t>
      </w:r>
      <w:r>
        <w:t xml:space="preserve"> + β</w:t>
      </w:r>
      <w:r>
        <w:rPr>
          <w:vertAlign w:val="subscript"/>
        </w:rPr>
        <w:t>i</w:t>
      </w:r>
      <w:r>
        <w:t xml:space="preserve"> (R</w:t>
      </w:r>
      <w:r>
        <w:rPr>
          <w:vertAlign w:val="subscript"/>
        </w:rPr>
        <w:t>M</w:t>
      </w:r>
      <w:r w:rsidR="00970B93">
        <w:t xml:space="preserve"> – R</w:t>
      </w:r>
      <w:r w:rsidR="00970B93">
        <w:rPr>
          <w:vertAlign w:val="subscript"/>
        </w:rPr>
        <w:t>f</w:t>
      </w:r>
      <w:r>
        <w:t xml:space="preserve">) </w:t>
      </w:r>
      <w:r w:rsidR="0037408E">
        <w:t xml:space="preserve"> </w:t>
      </w:r>
      <w:r>
        <w:t xml:space="preserve">   </w:t>
      </w:r>
      <w:r w:rsidR="0037408E">
        <w:t>where</w:t>
      </w:r>
      <w:r>
        <w:t xml:space="preserve"> β</w:t>
      </w:r>
      <w:r>
        <w:rPr>
          <w:vertAlign w:val="subscript"/>
        </w:rPr>
        <w:t>i</w:t>
      </w:r>
      <w:r>
        <w:t xml:space="preserve"> = </w:t>
      </w:r>
      <w:r w:rsidRPr="00F82403">
        <w:rPr>
          <w:position w:val="-30"/>
        </w:rPr>
        <w:object w:dxaOrig="780" w:dyaOrig="720">
          <v:shape id="_x0000_i1028" type="#_x0000_t75" style="width:39pt;height:36pt" o:ole="">
            <v:imagedata r:id="rId11" o:title=""/>
          </v:shape>
          <o:OLEObject Type="Embed" ProgID="Equation.3" ShapeID="_x0000_i1028" DrawAspect="Content" ObjectID="_1521292945" r:id="rId12"/>
        </w:object>
      </w:r>
      <w:r w:rsidR="002606C9">
        <w:t xml:space="preserve"> = </w:t>
      </w:r>
      <w:r w:rsidR="002606C9" w:rsidRPr="002606C9">
        <w:rPr>
          <w:position w:val="-30"/>
        </w:rPr>
        <w:object w:dxaOrig="1120" w:dyaOrig="720">
          <v:shape id="_x0000_i1029" type="#_x0000_t75" style="width:56.25pt;height:36pt" o:ole="">
            <v:imagedata r:id="rId13" o:title=""/>
          </v:shape>
          <o:OLEObject Type="Embed" ProgID="Equation.3" ShapeID="_x0000_i1029" DrawAspect="Content" ObjectID="_1521292946" r:id="rId14"/>
        </w:object>
      </w:r>
      <w:r w:rsidR="002606C9">
        <w:t xml:space="preserve"> = </w:t>
      </w:r>
      <w:r w:rsidR="002606C9" w:rsidRPr="002606C9">
        <w:rPr>
          <w:position w:val="-30"/>
        </w:rPr>
        <w:object w:dxaOrig="900" w:dyaOrig="680">
          <v:shape id="_x0000_i1030" type="#_x0000_t75" style="width:45pt;height:33.75pt" o:ole="">
            <v:imagedata r:id="rId15" o:title=""/>
          </v:shape>
          <o:OLEObject Type="Embed" ProgID="Equation.3" ShapeID="_x0000_i1030" DrawAspect="Content" ObjectID="_1521292947" r:id="rId16"/>
        </w:object>
      </w:r>
      <w:r w:rsidR="0037408E">
        <w:tab/>
      </w:r>
      <w:r w:rsidR="0037408E" w:rsidRPr="0037408E">
        <w:rPr>
          <w:position w:val="-4"/>
        </w:rPr>
        <w:object w:dxaOrig="180" w:dyaOrig="279">
          <v:shape id="_x0000_i1031" type="#_x0000_t75" style="width:9pt;height:14.25pt" o:ole="">
            <v:imagedata r:id="rId17" o:title=""/>
          </v:shape>
          <o:OLEObject Type="Embed" ProgID="Equation.DSMT4" ShapeID="_x0000_i1031" DrawAspect="Content" ObjectID="_1521292948" r:id="rId18"/>
        </w:object>
      </w:r>
    </w:p>
    <w:p w:rsidR="00922135" w:rsidRDefault="00AB3EFF" w:rsidP="00970B93">
      <w:pPr>
        <w:rPr>
          <w:b/>
        </w:rPr>
      </w:pPr>
      <w:r w:rsidRPr="00970B93">
        <w:rPr>
          <w:b/>
        </w:rPr>
        <w:lastRenderedPageBreak/>
        <w:t>What the CAPM is telling us</w:t>
      </w:r>
    </w:p>
    <w:p w:rsidR="00970B93" w:rsidRPr="00970B93" w:rsidRDefault="00970B93" w:rsidP="00970B93">
      <w:pPr>
        <w:rPr>
          <w:b/>
        </w:rPr>
      </w:pPr>
    </w:p>
    <w:p w:rsidR="00922135" w:rsidRDefault="00684F54" w:rsidP="00970B93">
      <w:pPr>
        <w:numPr>
          <w:ilvl w:val="0"/>
          <w:numId w:val="46"/>
        </w:numPr>
      </w:pPr>
      <w:r w:rsidRPr="00970B93">
        <w:t>Covariance</w:t>
      </w:r>
      <w:r w:rsidR="00922135" w:rsidRPr="00970B93">
        <w:t xml:space="preserve"> (with </w:t>
      </w:r>
      <w:r w:rsidR="00970B93" w:rsidRPr="00970B93">
        <w:t xml:space="preserve">the </w:t>
      </w:r>
      <w:r w:rsidR="00922135" w:rsidRPr="00970B93">
        <w:t>market</w:t>
      </w:r>
      <w:r w:rsidR="00970B93" w:rsidRPr="00970B93">
        <w:t xml:space="preserve"> portfolio)</w:t>
      </w:r>
      <w:r w:rsidRPr="00970B93">
        <w:t xml:space="preserve">, not </w:t>
      </w:r>
      <w:r w:rsidR="00970B93" w:rsidRPr="00970B93">
        <w:t>standard deviation</w:t>
      </w:r>
      <w:r w:rsidRPr="00970B93">
        <w:t xml:space="preserve"> is the appropriate measure of risk</w:t>
      </w:r>
      <w:r w:rsidR="00970B93" w:rsidRPr="00970B93">
        <w:t xml:space="preserve"> for an individual asset</w:t>
      </w:r>
      <w:r w:rsidRPr="00970B93">
        <w:t>.</w:t>
      </w:r>
      <w:r w:rsidR="00117EA1" w:rsidRPr="00970B93">
        <w:t xml:space="preserve"> </w:t>
      </w:r>
    </w:p>
    <w:p w:rsidR="00970B93" w:rsidRPr="00970B93" w:rsidRDefault="00970B93" w:rsidP="00970B93"/>
    <w:p w:rsidR="00970B93" w:rsidRDefault="00117EA1" w:rsidP="00970B93">
      <w:r>
        <w:t xml:space="preserve">Why? </w:t>
      </w:r>
      <w:proofErr w:type="gramStart"/>
      <w:r>
        <w:t xml:space="preserve">Because the covariance of an asset with a portfolio can be interpreted as the </w:t>
      </w:r>
      <w:r w:rsidRPr="00F82403">
        <w:t>marginal variance</w:t>
      </w:r>
      <w:r w:rsidR="00F82403">
        <w:t xml:space="preserve"> of the portfolio</w:t>
      </w:r>
      <w:r>
        <w:t>.</w:t>
      </w:r>
      <w:proofErr w:type="gramEnd"/>
      <w:r>
        <w:t xml:space="preserve"> </w:t>
      </w:r>
    </w:p>
    <w:p w:rsidR="00970B93" w:rsidRDefault="00970B93" w:rsidP="00970B93"/>
    <w:p w:rsidR="00970B93" w:rsidRDefault="00C505C4" w:rsidP="00970B93">
      <w:pPr>
        <w:rPr>
          <w:i/>
        </w:rPr>
      </w:pPr>
      <w:r>
        <w:t>To see this</w:t>
      </w:r>
      <w:r w:rsidR="00F82403">
        <w:t>, look at a 100 x 100 variance/</w:t>
      </w:r>
      <w:r w:rsidR="0021315F">
        <w:t>covariance matrix and see what happens when you add risky asset # 101.</w:t>
      </w:r>
      <w:r>
        <w:t xml:space="preserve"> </w:t>
      </w:r>
      <w:r w:rsidRPr="00F82403">
        <w:t xml:space="preserve">The marginal contribution of the asset to the portfolio’s variance is </w:t>
      </w:r>
      <w:r w:rsidR="00F82403" w:rsidRPr="00F82403">
        <w:t>200 times more</w:t>
      </w:r>
      <w:r w:rsidR="00F82403">
        <w:t xml:space="preserve"> dependent </w:t>
      </w:r>
      <w:r w:rsidRPr="00F82403">
        <w:t>on the covariance of asset</w:t>
      </w:r>
      <w:r w:rsidR="00F82403">
        <w:t xml:space="preserve"> #101</w:t>
      </w:r>
      <w:r w:rsidRPr="00F82403">
        <w:t xml:space="preserve"> with the </w:t>
      </w:r>
      <w:r w:rsidR="00F82403">
        <w:t>other assets than with the variance of asset #101.</w:t>
      </w:r>
      <w:r w:rsidR="00786F1B">
        <w:rPr>
          <w:i/>
        </w:rPr>
        <w:t xml:space="preserve"> </w:t>
      </w:r>
    </w:p>
    <w:p w:rsidR="00970B93" w:rsidRDefault="00970B93" w:rsidP="00970B93"/>
    <w:p w:rsidR="007F2067" w:rsidRDefault="002E6884" w:rsidP="00970B93">
      <w:r w:rsidRPr="00F82403">
        <w:t>Beta</w:t>
      </w:r>
      <w:r>
        <w:t xml:space="preserve"> (covariance </w:t>
      </w:r>
      <w:r w:rsidR="00970B93">
        <w:t>with the market standardized</w:t>
      </w:r>
      <w:r>
        <w:t xml:space="preserve"> </w:t>
      </w:r>
      <w:r w:rsidR="00970B93">
        <w:t xml:space="preserve">by the variance of </w:t>
      </w:r>
      <w:r w:rsidR="006C3D87">
        <w:t xml:space="preserve">the </w:t>
      </w:r>
      <w:r w:rsidR="00970B93">
        <w:t>market</w:t>
      </w:r>
      <w:r>
        <w:t xml:space="preserve">) is thus the relevant measure of risk. </w:t>
      </w:r>
    </w:p>
    <w:p w:rsidR="00970B93" w:rsidRDefault="00970B93" w:rsidP="00970B93"/>
    <w:p w:rsidR="00922135" w:rsidRDefault="002E6884" w:rsidP="00970B93">
      <w:pPr>
        <w:numPr>
          <w:ilvl w:val="0"/>
          <w:numId w:val="46"/>
        </w:numPr>
      </w:pPr>
      <w:r w:rsidRPr="00970B93">
        <w:t xml:space="preserve">High beta </w:t>
      </w:r>
      <w:r w:rsidR="00922135" w:rsidRPr="00970B93">
        <w:t xml:space="preserve">assets </w:t>
      </w:r>
      <w:r w:rsidRPr="00970B93">
        <w:t>have high expected returns</w:t>
      </w:r>
    </w:p>
    <w:p w:rsidR="00970B93" w:rsidRPr="00970B93" w:rsidRDefault="00970B93" w:rsidP="00970B93">
      <w:pPr>
        <w:ind w:left="720"/>
      </w:pPr>
    </w:p>
    <w:p w:rsidR="00970B93" w:rsidRDefault="00922135" w:rsidP="00970B93">
      <w:r>
        <w:t>In fact, according to the CAPM,</w:t>
      </w:r>
      <w:r w:rsidR="002E6884">
        <w:t xml:space="preserve"> there is a linear relationship between beta and expected return. </w:t>
      </w:r>
    </w:p>
    <w:p w:rsidR="00970B93" w:rsidRDefault="002E6884" w:rsidP="00970B93">
      <w:r>
        <w:t>What is the economic int</w:t>
      </w:r>
      <w:r w:rsidR="006C3D87">
        <w:t>uition behind this result? High-</w:t>
      </w:r>
      <w:r>
        <w:t xml:space="preserve">beta </w:t>
      </w:r>
      <w:r w:rsidR="00922135">
        <w:t>assets</w:t>
      </w:r>
      <w:r>
        <w:t xml:space="preserve"> have high returns when the overall market return is high i.e. they pay off well when you least need the money. Conversely, when you need the money most (which is when the overall market is doing badly), these </w:t>
      </w:r>
      <w:r w:rsidR="00922135">
        <w:t>assets</w:t>
      </w:r>
      <w:r>
        <w:t xml:space="preserve"> fare</w:t>
      </w:r>
      <w:r w:rsidR="00922135">
        <w:t xml:space="preserve"> poorly. So, in equilibrium, these assets have to offer high expected returns in order </w:t>
      </w:r>
      <w:r w:rsidR="0021315F">
        <w:t>for</w:t>
      </w:r>
      <w:r w:rsidR="00922135">
        <w:t xml:space="preserve"> investors</w:t>
      </w:r>
      <w:r w:rsidR="0021315F">
        <w:t xml:space="preserve"> to</w:t>
      </w:r>
      <w:r w:rsidR="00922135">
        <w:t xml:space="preserve"> hold them.</w:t>
      </w:r>
      <w:r w:rsidR="007553F7">
        <w:t xml:space="preserve"> </w:t>
      </w:r>
    </w:p>
    <w:p w:rsidR="00970B93" w:rsidRDefault="006C3D87" w:rsidP="00970B93">
      <w:r>
        <w:t>Additionally, high-</w:t>
      </w:r>
      <w:r w:rsidR="007553F7">
        <w:t xml:space="preserve">beta assets have a high covariance with the market. If investors are holding the market portfolio, this </w:t>
      </w:r>
      <w:r>
        <w:t>means that when they add a high-</w:t>
      </w:r>
      <w:r w:rsidR="007553F7">
        <w:t xml:space="preserve">beta asset to their portfolio, they are increasing the standard deviation of their portfolio – thus making it more risky. </w:t>
      </w:r>
    </w:p>
    <w:p w:rsidR="002E6884" w:rsidRDefault="007553F7" w:rsidP="00970B93">
      <w:r>
        <w:t>Investors require a high expected return as compensation for holding stocks that increase the risk (standard deviation) of their portfolio.</w:t>
      </w:r>
    </w:p>
    <w:p w:rsidR="00970B93" w:rsidRDefault="00970B93" w:rsidP="00970B93"/>
    <w:p w:rsidR="000461EE" w:rsidRPr="00970B93" w:rsidRDefault="000461EE" w:rsidP="00970B93">
      <w:pPr>
        <w:numPr>
          <w:ilvl w:val="0"/>
          <w:numId w:val="46"/>
        </w:numPr>
      </w:pPr>
      <w:r w:rsidRPr="00970B93">
        <w:t>Beta alone determines expected returns</w:t>
      </w:r>
    </w:p>
    <w:p w:rsidR="00970B93" w:rsidRDefault="000461EE" w:rsidP="00970B93">
      <w:r>
        <w:t>Once beta is taken into account, no other fa</w:t>
      </w:r>
      <w:r w:rsidR="007553F7">
        <w:t>ctors determine expected return</w:t>
      </w:r>
      <w:r>
        <w:t xml:space="preserve">. </w:t>
      </w:r>
    </w:p>
    <w:p w:rsidR="00970B93" w:rsidRDefault="000461EE" w:rsidP="00970B93">
      <w:r>
        <w:t>Beta is the sole factor affecting security prices and returns.</w:t>
      </w:r>
      <w:r w:rsidR="006C3D87">
        <w:t xml:space="preserve"> That makes the CAPM a single-factor model. We will contrast this with multi-factor models later.</w:t>
      </w:r>
      <w:r>
        <w:t xml:space="preserve"> </w:t>
      </w:r>
    </w:p>
    <w:p w:rsidR="00970B93" w:rsidRPr="000461EE" w:rsidRDefault="00970B93" w:rsidP="00970B93"/>
    <w:p w:rsidR="00922135" w:rsidRPr="00970B93" w:rsidRDefault="00CF59D3" w:rsidP="00970B93">
      <w:pPr>
        <w:numPr>
          <w:ilvl w:val="0"/>
          <w:numId w:val="46"/>
        </w:numPr>
      </w:pPr>
      <w:r w:rsidRPr="00970B93">
        <w:t>Diversifiable risk is not priced</w:t>
      </w:r>
    </w:p>
    <w:p w:rsidR="00970B93" w:rsidRDefault="00CF59D3" w:rsidP="00970B93">
      <w:r>
        <w:t xml:space="preserve">The best way to see this is to consider an asset that has a high </w:t>
      </w:r>
      <w:r w:rsidR="00970B93">
        <w:t>standard deviation</w:t>
      </w:r>
      <w:r>
        <w:t xml:space="preserve">, but a zero </w:t>
      </w:r>
      <w:r w:rsidR="006C3D87">
        <w:t>correlation</w:t>
      </w:r>
      <w:r>
        <w:t xml:space="preserve"> with the market portfolio. </w:t>
      </w:r>
    </w:p>
    <w:p w:rsidR="00970B93" w:rsidRDefault="00CF59D3" w:rsidP="00970B93">
      <w:r>
        <w:t>The CAPM says that this asset, in spite of its high volatility, will have an expected return equal to the risk-free rate</w:t>
      </w:r>
      <w:r w:rsidR="000461EE">
        <w:t>, as its beta is zero</w:t>
      </w:r>
      <w:r>
        <w:t xml:space="preserve">. </w:t>
      </w:r>
    </w:p>
    <w:p w:rsidR="00970B93" w:rsidRDefault="00CF59D3" w:rsidP="00970B93">
      <w:r>
        <w:t xml:space="preserve">This </w:t>
      </w:r>
      <w:r w:rsidR="000461EE">
        <w:t>means</w:t>
      </w:r>
      <w:r>
        <w:t xml:space="preserve"> all the risk of this stock is idiosyncratic</w:t>
      </w:r>
      <w:r w:rsidR="00970B93">
        <w:t xml:space="preserve"> (unique)</w:t>
      </w:r>
      <w:r>
        <w:t>, which means it can be diversified away.</w:t>
      </w:r>
      <w:r w:rsidR="000461EE">
        <w:t xml:space="preserve"> </w:t>
      </w:r>
    </w:p>
    <w:p w:rsidR="00C16183" w:rsidRDefault="000461EE" w:rsidP="00970B93">
      <w:r>
        <w:t>Since</w:t>
      </w:r>
      <w:r w:rsidR="00970B93">
        <w:t xml:space="preserve"> diversifying is costless (</w:t>
      </w:r>
      <w:r>
        <w:t xml:space="preserve">one can </w:t>
      </w:r>
      <w:r w:rsidR="00970B93">
        <w:t xml:space="preserve">easily </w:t>
      </w:r>
      <w:r>
        <w:t xml:space="preserve">buy into a no-load </w:t>
      </w:r>
      <w:r w:rsidRPr="00970B93">
        <w:t>mutual fund</w:t>
      </w:r>
      <w:r w:rsidR="002606C9">
        <w:t xml:space="preserve"> or an ETF</w:t>
      </w:r>
      <w:r>
        <w:t>), investors are not compen</w:t>
      </w:r>
      <w:r w:rsidR="00C16183">
        <w:t xml:space="preserve">sated for such </w:t>
      </w:r>
      <w:r>
        <w:t xml:space="preserve">company-specific risk. </w:t>
      </w:r>
    </w:p>
    <w:p w:rsidR="002E6884" w:rsidRDefault="007553F7" w:rsidP="00970B93">
      <w:r>
        <w:lastRenderedPageBreak/>
        <w:t>The only risk</w:t>
      </w:r>
      <w:r w:rsidR="000461EE">
        <w:t xml:space="preserve"> that is priced is </w:t>
      </w:r>
      <w:r w:rsidR="000461EE" w:rsidRPr="00C16183">
        <w:t>systematic risk</w:t>
      </w:r>
      <w:r w:rsidR="00C16183">
        <w:t xml:space="preserve"> (market risk)</w:t>
      </w:r>
      <w:r w:rsidR="000461EE">
        <w:t xml:space="preserve">, </w:t>
      </w:r>
      <w:r>
        <w:t xml:space="preserve">which is </w:t>
      </w:r>
      <w:r w:rsidR="000461EE">
        <w:t>measured by beta.</w:t>
      </w:r>
    </w:p>
    <w:p w:rsidR="00AB5699" w:rsidRDefault="00AB5699" w:rsidP="00CF59D3">
      <w:pPr>
        <w:spacing w:line="360" w:lineRule="auto"/>
        <w:ind w:left="720"/>
        <w:jc w:val="both"/>
        <w:rPr>
          <w:sz w:val="26"/>
        </w:rPr>
      </w:pPr>
    </w:p>
    <w:p w:rsidR="00A00D8F" w:rsidRDefault="00CD460F" w:rsidP="00C16183">
      <w:r>
        <w:t>The S</w:t>
      </w:r>
      <w:r w:rsidR="00C16183">
        <w:t>ecurity Market Line (</w:t>
      </w:r>
      <w:r>
        <w:t>SML) is a graphical representation of the CAPM pricing relation.</w:t>
      </w:r>
      <w:r w:rsidR="00C84D0F">
        <w:t xml:space="preserve"> </w:t>
      </w:r>
    </w:p>
    <w:p w:rsidR="00A00D8F" w:rsidRDefault="00A00D8F" w:rsidP="00C16183"/>
    <w:p w:rsidR="00A00D8F" w:rsidRDefault="00A00D8F" w:rsidP="00C16183"/>
    <w:bookmarkStart w:id="4" w:name="_MON_1090747383"/>
    <w:bookmarkEnd w:id="4"/>
    <w:p w:rsidR="0077126B" w:rsidRDefault="00AB5699" w:rsidP="0077126B">
      <w:pPr>
        <w:spacing w:line="360" w:lineRule="auto"/>
        <w:ind w:firstLine="720"/>
        <w:jc w:val="both"/>
      </w:pPr>
      <w:r>
        <w:object w:dxaOrig="7751" w:dyaOrig="5382">
          <v:shape id="_x0000_i1032" type="#_x0000_t75" style="width:387.75pt;height:269.25pt" o:ole="">
            <v:imagedata r:id="rId19" o:title=""/>
          </v:shape>
          <o:OLEObject Type="Embed" ProgID="Excel.Chart.8" ShapeID="_x0000_i1032" DrawAspect="Content" ObjectID="_1521292949" r:id="rId20">
            <o:FieldCodes>\s</o:FieldCodes>
          </o:OLEObject>
        </w:object>
      </w:r>
    </w:p>
    <w:p w:rsidR="00C16183" w:rsidRDefault="00C16183" w:rsidP="00C16183"/>
    <w:p w:rsidR="00C16183" w:rsidRDefault="00471817" w:rsidP="00C16183">
      <w:r>
        <w:t xml:space="preserve">This line contains the essence of the CAPM. Under the equilibrium conditions assumed by the CAPM, </w:t>
      </w:r>
      <w:r w:rsidR="007553F7" w:rsidRPr="006C3D87">
        <w:t>every</w:t>
      </w:r>
      <w:r w:rsidRPr="00471817">
        <w:rPr>
          <w:i/>
        </w:rPr>
        <w:t xml:space="preserve"> </w:t>
      </w:r>
      <w:r>
        <w:t>asset should lie on the security market line. The higher the beta, the higher the expected return.</w:t>
      </w:r>
    </w:p>
    <w:p w:rsidR="00C16183" w:rsidRDefault="00C16183" w:rsidP="00C16183"/>
    <w:p w:rsidR="00471817" w:rsidRPr="00C16183" w:rsidRDefault="00C16183" w:rsidP="00C16183">
      <w:pPr>
        <w:rPr>
          <w:sz w:val="26"/>
          <w:szCs w:val="26"/>
        </w:rPr>
      </w:pPr>
      <w:r>
        <w:t>Sometimes, students confuse the SML with the CML, so i</w:t>
      </w:r>
      <w:r w:rsidR="00471817" w:rsidRPr="00C16183">
        <w:t xml:space="preserve">t is instructive to put the CML and the SML beside each other </w:t>
      </w:r>
      <w:r w:rsidR="0021315F" w:rsidRPr="00C16183">
        <w:t>and compare them. This is what we</w:t>
      </w:r>
      <w:r w:rsidR="00471817" w:rsidRPr="00C16183">
        <w:t xml:space="preserve"> have done in the following picture.</w:t>
      </w:r>
      <w:r w:rsidR="00C84D0F" w:rsidRPr="00C16183">
        <w:br w:type="page"/>
      </w:r>
      <w:r w:rsidR="00471817">
        <w:rPr>
          <w:noProof/>
          <w:sz w:val="26"/>
        </w:rPr>
      </w:r>
      <w:r w:rsidR="00471817" w:rsidRPr="00471817">
        <w:rPr>
          <w:sz w:val="26"/>
        </w:rPr>
        <w:pict>
          <v:group id="_x0000_s1178" editas="canvas" style="width:6in;height:217.1pt;mso-position-horizontal-relative:char;mso-position-vertical-relative:line" coordorigin="2520,952" coordsize="10297,5323">
            <o:lock v:ext="edit" aspectratio="t"/>
            <v:shape id="_x0000_s1177" type="#_x0000_t75" style="position:absolute;left:2520;top:952;width:10297;height:5323" o:preferrelative="f">
              <v:fill o:detectmouseclick="t"/>
              <v:path o:extrusionok="t" o:connecttype="none"/>
              <o:lock v:ext="edit" text="t"/>
            </v:shape>
            <v:shape id="_x0000_s1175" type="#_x0000_t75" style="position:absolute;left:7669;top:1173;width:5005;height:4466" fillcolor="#bbe0e3">
              <v:fill o:detectmouseclick="t"/>
              <v:stroke o:forcedash="t"/>
              <v:imagedata r:id="rId21" o:title=""/>
            </v:shape>
            <v:shape id="_x0000_s1176" type="#_x0000_t75" style="position:absolute;left:2735;top:1225;width:4934;height:4414" fillcolor="#bbe0e3">
              <v:fill o:detectmouseclick="t"/>
              <v:stroke o:forcedash="t"/>
              <v:imagedata r:id="rId22" o:title=""/>
            </v:shape>
            <w10:anchorlock/>
          </v:group>
          <o:OLEObject Type="Embed" ProgID="Excel.Chart.8" ShapeID="_x0000_s1175" DrawAspect="Content" ObjectID="_1521292952" r:id="rId23">
            <o:FieldCodes>\s</o:FieldCodes>
          </o:OLEObject>
          <o:OLEObject Type="Embed" ProgID="Excel.Chart.8" ShapeID="_x0000_s1176" DrawAspect="Content" ObjectID="_1521292953" r:id="rId24">
            <o:FieldCodes>\s</o:FieldCodes>
          </o:OLEObject>
        </w:pict>
      </w:r>
    </w:p>
    <w:p w:rsidR="00C16183" w:rsidRDefault="00AB5699" w:rsidP="00C16183">
      <w:r w:rsidRPr="00AB5699">
        <w:t xml:space="preserve">Compare the two panels of the figure. </w:t>
      </w:r>
    </w:p>
    <w:p w:rsidR="00C16183" w:rsidRDefault="00AB5699" w:rsidP="00C16183">
      <w:r w:rsidRPr="00AB5699">
        <w:t xml:space="preserve">The vertical axis on both panels represents the expected return. </w:t>
      </w:r>
    </w:p>
    <w:p w:rsidR="00C16183" w:rsidRDefault="00AB5699" w:rsidP="00C16183">
      <w:r w:rsidRPr="00AB5699">
        <w:t xml:space="preserve">The only difference in these diagrams is the horizontal axis. </w:t>
      </w:r>
    </w:p>
    <w:p w:rsidR="00C16183" w:rsidRDefault="00C16183" w:rsidP="00C16183"/>
    <w:p w:rsidR="00C16183" w:rsidRDefault="00AB5699" w:rsidP="00C16183">
      <w:r w:rsidRPr="00AB5699">
        <w:t xml:space="preserve">In the left panel this axis </w:t>
      </w:r>
      <w:r w:rsidR="006C3D87">
        <w:t>measures</w:t>
      </w:r>
      <w:r w:rsidRPr="00AB5699">
        <w:t xml:space="preserve"> standard deviation, which means this panel is a mean-standard deviation diagram. </w:t>
      </w:r>
    </w:p>
    <w:p w:rsidR="00AB5699" w:rsidRDefault="00AB5699" w:rsidP="00C16183">
      <w:r w:rsidRPr="00AB5699">
        <w:t xml:space="preserve">In the right panel, the horizontal axis </w:t>
      </w:r>
      <w:r w:rsidR="006C3D87">
        <w:t>measures</w:t>
      </w:r>
      <w:r w:rsidRPr="00AB5699">
        <w:t xml:space="preserve"> beta, or systematic risk. This is a mean-beta diagram.</w:t>
      </w:r>
    </w:p>
    <w:p w:rsidR="00C16183" w:rsidRDefault="00C16183" w:rsidP="00C16183"/>
    <w:p w:rsidR="00C16183" w:rsidRDefault="004D2E4C" w:rsidP="00C16183">
      <w:r>
        <w:t xml:space="preserve">All assets lie on the SML. </w:t>
      </w:r>
    </w:p>
    <w:p w:rsidR="004D2E4C" w:rsidRDefault="00C16183" w:rsidP="00C16183">
      <w:r>
        <w:t>The only assets which lie on the CML are the market portfolio and the risk-free asset.</w:t>
      </w:r>
    </w:p>
    <w:p w:rsidR="00C16183" w:rsidRDefault="004D2E4C" w:rsidP="00C16183">
      <w:r>
        <w:t>The CML plot shows total risk (sys</w:t>
      </w:r>
      <w:r w:rsidR="00C16183">
        <w:t>tematic and unsystematic)</w:t>
      </w:r>
      <w:r>
        <w:t xml:space="preserve"> </w:t>
      </w:r>
    </w:p>
    <w:p w:rsidR="00C16183" w:rsidRDefault="00C16183" w:rsidP="00C16183"/>
    <w:p w:rsidR="004D2E4C" w:rsidRPr="00AB5699" w:rsidRDefault="00C16183" w:rsidP="00C16183">
      <w:r>
        <w:t>P</w:t>
      </w:r>
      <w:r w:rsidR="00332071">
        <w:t xml:space="preserve">oints on </w:t>
      </w:r>
      <w:r w:rsidR="004D2E4C">
        <w:t>the SML show only systematic risk.</w:t>
      </w:r>
    </w:p>
    <w:p w:rsidR="00C16183" w:rsidRDefault="00AB5699" w:rsidP="00C16183">
      <w:r w:rsidRPr="00AB5699">
        <w:t xml:space="preserve">While investments with the same </w:t>
      </w:r>
      <w:r w:rsidR="00C16183">
        <w:t>expected return</w:t>
      </w:r>
      <w:r w:rsidRPr="00AB5699">
        <w:t xml:space="preserve"> can have different standard deviations, they must have the same beta.</w:t>
      </w:r>
    </w:p>
    <w:p w:rsidR="00C16183" w:rsidRDefault="00AB5699" w:rsidP="00C16183">
      <w:r w:rsidRPr="00AB5699">
        <w:t xml:space="preserve"> </w:t>
      </w:r>
    </w:p>
    <w:p w:rsidR="003D0860" w:rsidRDefault="00AB5699" w:rsidP="00C16183">
      <w:r w:rsidRPr="00AB5699">
        <w:t xml:space="preserve">Since </w:t>
      </w:r>
      <w:r w:rsidR="00C16183">
        <w:t>expected</w:t>
      </w:r>
      <w:r w:rsidRPr="00AB5699">
        <w:t xml:space="preserve"> return and beta plot on a straight line, all investments with the same </w:t>
      </w:r>
      <w:r w:rsidR="00C16183">
        <w:t>expected</w:t>
      </w:r>
      <w:r w:rsidRPr="00AB5699">
        <w:t xml:space="preserve"> return must have the same beta</w:t>
      </w:r>
      <w:r w:rsidR="004D2E4C">
        <w:t>, and vice versa</w:t>
      </w:r>
      <w:r w:rsidRPr="00AB5699">
        <w:t xml:space="preserve">. For instance, in Panel A, all points on the horizontal line to the right of the </w:t>
      </w:r>
      <w:r w:rsidRPr="00C16183">
        <w:rPr>
          <w:iCs/>
        </w:rPr>
        <w:t>market portfolio</w:t>
      </w:r>
      <w:r w:rsidRPr="00AB5699">
        <w:t xml:space="preserve">, have the same beta as the market, which is 1. </w:t>
      </w:r>
    </w:p>
    <w:p w:rsidR="00C16183" w:rsidRPr="005D0CC1" w:rsidRDefault="00C16183" w:rsidP="00C16183"/>
    <w:p w:rsidR="003D0860" w:rsidRDefault="003D0860" w:rsidP="00C16183">
      <w:pPr>
        <w:rPr>
          <w:b/>
        </w:rPr>
      </w:pPr>
    </w:p>
    <w:p w:rsidR="003D0860" w:rsidRDefault="003D0860" w:rsidP="00C16183">
      <w:pPr>
        <w:rPr>
          <w:b/>
        </w:rPr>
      </w:pPr>
    </w:p>
    <w:p w:rsidR="003D0860" w:rsidRDefault="003D0860" w:rsidP="00C16183">
      <w:pPr>
        <w:rPr>
          <w:b/>
        </w:rPr>
      </w:pPr>
    </w:p>
    <w:p w:rsidR="003D0860" w:rsidRDefault="003D0860" w:rsidP="00C16183">
      <w:pPr>
        <w:rPr>
          <w:b/>
        </w:rPr>
      </w:pPr>
    </w:p>
    <w:p w:rsidR="003D0860" w:rsidRDefault="003D0860" w:rsidP="00C16183">
      <w:pPr>
        <w:rPr>
          <w:b/>
        </w:rPr>
      </w:pPr>
    </w:p>
    <w:p w:rsidR="008171C9" w:rsidRDefault="008171C9" w:rsidP="00C16183">
      <w:pPr>
        <w:rPr>
          <w:b/>
        </w:rPr>
      </w:pPr>
    </w:p>
    <w:p w:rsidR="008171C9" w:rsidRDefault="008171C9" w:rsidP="00C16183">
      <w:pPr>
        <w:rPr>
          <w:b/>
        </w:rPr>
      </w:pPr>
    </w:p>
    <w:p w:rsidR="008171C9" w:rsidRDefault="008171C9" w:rsidP="00C16183">
      <w:pPr>
        <w:rPr>
          <w:b/>
        </w:rPr>
      </w:pPr>
    </w:p>
    <w:p w:rsidR="003D0860" w:rsidRDefault="003D0860" w:rsidP="00C16183">
      <w:pPr>
        <w:rPr>
          <w:b/>
        </w:rPr>
      </w:pPr>
    </w:p>
    <w:p w:rsidR="00C12296" w:rsidRPr="00C16183" w:rsidRDefault="00C16183" w:rsidP="00C16183">
      <w:pPr>
        <w:rPr>
          <w:b/>
        </w:rPr>
      </w:pPr>
      <w:r w:rsidRPr="00C16183">
        <w:rPr>
          <w:b/>
        </w:rPr>
        <w:lastRenderedPageBreak/>
        <w:t xml:space="preserve">Additional </w:t>
      </w:r>
      <w:r w:rsidR="00C12296" w:rsidRPr="00C16183">
        <w:rPr>
          <w:b/>
        </w:rPr>
        <w:t>Notes on beta</w:t>
      </w:r>
    </w:p>
    <w:p w:rsidR="003D0860" w:rsidRDefault="00C56B23" w:rsidP="00C16183">
      <w:r w:rsidRPr="00C56B23">
        <w:t>The definition of beta is</w:t>
      </w:r>
      <w:r w:rsidR="007553F7">
        <w:t xml:space="preserve"> β</w:t>
      </w:r>
      <w:r w:rsidR="007553F7">
        <w:rPr>
          <w:vertAlign w:val="subscript"/>
        </w:rPr>
        <w:t>i</w:t>
      </w:r>
      <w:r w:rsidR="007553F7">
        <w:t xml:space="preserve"> = </w:t>
      </w:r>
      <w:r w:rsidR="007553F7" w:rsidRPr="00F82403">
        <w:rPr>
          <w:position w:val="-30"/>
        </w:rPr>
        <w:object w:dxaOrig="780" w:dyaOrig="720">
          <v:shape id="_x0000_i1033" type="#_x0000_t75" style="width:39pt;height:36pt" o:ole="">
            <v:imagedata r:id="rId11" o:title=""/>
          </v:shape>
          <o:OLEObject Type="Embed" ProgID="Equation.3" ShapeID="_x0000_i1033" DrawAspect="Content" ObjectID="_1521292950" r:id="rId25"/>
        </w:object>
      </w:r>
      <w:r w:rsidR="00D07085">
        <w:t xml:space="preserve"> </w:t>
      </w:r>
    </w:p>
    <w:p w:rsidR="003D0860" w:rsidRDefault="003D0860" w:rsidP="00C16183"/>
    <w:p w:rsidR="003D0860" w:rsidRPr="003D0860" w:rsidRDefault="003D0860" w:rsidP="00C16183">
      <w:r>
        <w:t>It can also be written as   β</w:t>
      </w:r>
      <w:r>
        <w:rPr>
          <w:vertAlign w:val="subscript"/>
        </w:rPr>
        <w:t>i</w:t>
      </w:r>
      <w:r>
        <w:t xml:space="preserve"> = </w:t>
      </w:r>
      <w:r w:rsidRPr="003D0860">
        <w:rPr>
          <w:position w:val="-30"/>
        </w:rPr>
        <w:object w:dxaOrig="940" w:dyaOrig="700">
          <v:shape id="_x0000_i1034" type="#_x0000_t75" style="width:47.25pt;height:35.25pt" o:ole="">
            <v:imagedata r:id="rId26" o:title=""/>
          </v:shape>
          <o:OLEObject Type="Embed" ProgID="Equation.3" ShapeID="_x0000_i1034" DrawAspect="Content" ObjectID="_1521292951" r:id="rId27"/>
        </w:object>
      </w:r>
    </w:p>
    <w:p w:rsidR="003D0860" w:rsidRDefault="003D0860" w:rsidP="00C16183"/>
    <w:p w:rsidR="003D0860" w:rsidRDefault="003D0860" w:rsidP="00C16183">
      <w:r>
        <w:t>B</w:t>
      </w:r>
      <w:r w:rsidR="00C56B23" w:rsidRPr="00C56B23">
        <w:t>eta is really a measure of the covariance of an asset’s return</w:t>
      </w:r>
      <w:r w:rsidR="006C3D87">
        <w:t>s</w:t>
      </w:r>
      <w:r w:rsidR="00C56B23" w:rsidRPr="00C56B23">
        <w:t xml:space="preserve"> with the return</w:t>
      </w:r>
      <w:r w:rsidR="006C3D87">
        <w:t>s of</w:t>
      </w:r>
      <w:r w:rsidR="00C56B23" w:rsidRPr="00C56B23">
        <w:t xml:space="preserve"> the market. </w:t>
      </w:r>
      <w:r>
        <w:t>It is simply standardized by the variance of the market to give us a more easily understood number (an average beta is 1.0, but an average covariance with the market can change based on the variance of the market and it is unlikely to be a round number).</w:t>
      </w:r>
    </w:p>
    <w:p w:rsidR="003D0860" w:rsidRDefault="003D0860" w:rsidP="00C16183"/>
    <w:p w:rsidR="00C56B23" w:rsidRDefault="003D0860" w:rsidP="00C16183">
      <w:r>
        <w:t>Beta</w:t>
      </w:r>
      <w:r w:rsidR="00C56B23" w:rsidRPr="00C56B23">
        <w:t xml:space="preserve"> can also be understood as the sensitivity of the asset’s ret</w:t>
      </w:r>
      <w:r w:rsidR="005D0CC1">
        <w:t>urn</w:t>
      </w:r>
      <w:r w:rsidR="002F2A6C">
        <w:t>s</w:t>
      </w:r>
      <w:r w:rsidR="005D0CC1">
        <w:t xml:space="preserve"> to the return</w:t>
      </w:r>
      <w:r w:rsidR="002F2A6C">
        <w:t>s of</w:t>
      </w:r>
      <w:r w:rsidR="005D0CC1">
        <w:t xml:space="preserve"> the market – that is, the slope of the regression line when we regress the return of the as</w:t>
      </w:r>
      <w:r w:rsidR="00496092">
        <w:t>set on the return of the market (This is a simplified way to measure beta. We will see later on, that doing it this way assumes that the risk-free rate was unchanged over the life of the time you recorded your returns).</w:t>
      </w:r>
    </w:p>
    <w:p w:rsidR="003D0860" w:rsidRPr="00C56B23" w:rsidRDefault="003D0860" w:rsidP="00C16183"/>
    <w:p w:rsidR="00C56B23" w:rsidRPr="00C56B23" w:rsidRDefault="00C56B23" w:rsidP="00C16183">
      <w:r w:rsidRPr="00C56B23">
        <w:t xml:space="preserve">One should always remember that: </w:t>
      </w:r>
    </w:p>
    <w:p w:rsidR="00D07085" w:rsidRDefault="00C56B23" w:rsidP="00C16183">
      <w:r w:rsidRPr="007553F7">
        <w:sym w:font="Symbol" w:char="F062"/>
      </w:r>
      <w:r w:rsidRPr="00C56B23">
        <w:t xml:space="preserve"> </w:t>
      </w:r>
      <w:proofErr w:type="gramStart"/>
      <w:r w:rsidRPr="00C56B23">
        <w:t>of</w:t>
      </w:r>
      <w:proofErr w:type="gramEnd"/>
      <w:r w:rsidRPr="00C56B23">
        <w:t xml:space="preserve"> risk-free asset =</w:t>
      </w:r>
      <w:r>
        <w:t xml:space="preserve"> </w:t>
      </w:r>
      <w:r w:rsidR="007553F7" w:rsidRPr="007553F7">
        <w:t>0</w:t>
      </w:r>
      <w:r w:rsidRPr="00C56B23">
        <w:t>, as the risk-free asset has a covariance</w:t>
      </w:r>
      <w:r w:rsidR="002F2A6C">
        <w:t xml:space="preserve"> (and correlation)</w:t>
      </w:r>
      <w:r w:rsidRPr="00C56B23">
        <w:t xml:space="preserve"> of zero with any other asset, including the market portfolio.</w:t>
      </w:r>
    </w:p>
    <w:p w:rsidR="003D0860" w:rsidRDefault="003D0860" w:rsidP="00C16183"/>
    <w:p w:rsidR="00C56B23" w:rsidRDefault="00C56B23" w:rsidP="00C16183">
      <w:r w:rsidRPr="005D0CC1">
        <w:sym w:font="Symbol" w:char="F062"/>
      </w:r>
      <w:r w:rsidRPr="00C56B23">
        <w:t xml:space="preserve"> </w:t>
      </w:r>
      <w:proofErr w:type="gramStart"/>
      <w:r w:rsidRPr="00C56B23">
        <w:t>of</w:t>
      </w:r>
      <w:proofErr w:type="gramEnd"/>
      <w:r w:rsidRPr="00C56B23">
        <w:t xml:space="preserve"> the market portfolio=</w:t>
      </w:r>
      <w:r>
        <w:t xml:space="preserve"> </w:t>
      </w:r>
      <w:proofErr w:type="spellStart"/>
      <w:r w:rsidRPr="005D0CC1">
        <w:t>Cov</w:t>
      </w:r>
      <w:proofErr w:type="spellEnd"/>
      <w:r w:rsidRPr="005D0CC1">
        <w:t>(</w:t>
      </w:r>
      <w:proofErr w:type="spellStart"/>
      <w:r w:rsidRPr="005D0CC1">
        <w:t>r</w:t>
      </w:r>
      <w:r w:rsidRPr="005D0CC1">
        <w:rPr>
          <w:vertAlign w:val="subscript"/>
        </w:rPr>
        <w:t>m</w:t>
      </w:r>
      <w:r w:rsidRPr="005D0CC1">
        <w:t>,r</w:t>
      </w:r>
      <w:r w:rsidRPr="005D0CC1">
        <w:rPr>
          <w:vertAlign w:val="subscript"/>
        </w:rPr>
        <w:t>m</w:t>
      </w:r>
      <w:proofErr w:type="spellEnd"/>
      <w:r w:rsidRPr="005D0CC1">
        <w:t>)/</w:t>
      </w:r>
      <w:proofErr w:type="spellStart"/>
      <w:r w:rsidRPr="005D0CC1">
        <w:t>Var</w:t>
      </w:r>
      <w:proofErr w:type="spellEnd"/>
      <w:r w:rsidRPr="005D0CC1">
        <w:t>(</w:t>
      </w:r>
      <w:proofErr w:type="spellStart"/>
      <w:r w:rsidRPr="005D0CC1">
        <w:t>r</w:t>
      </w:r>
      <w:r w:rsidRPr="005D0CC1">
        <w:rPr>
          <w:vertAlign w:val="subscript"/>
        </w:rPr>
        <w:t>m</w:t>
      </w:r>
      <w:proofErr w:type="spellEnd"/>
      <w:r w:rsidRPr="005D0CC1">
        <w:t>)</w:t>
      </w:r>
      <w:r w:rsidR="005D0CC1">
        <w:t xml:space="preserve"> </w:t>
      </w:r>
      <w:r w:rsidRPr="005D0CC1">
        <w:t xml:space="preserve">= </w:t>
      </w:r>
      <w:proofErr w:type="spellStart"/>
      <w:r w:rsidRPr="005D0CC1">
        <w:t>Var</w:t>
      </w:r>
      <w:proofErr w:type="spellEnd"/>
      <w:r w:rsidRPr="005D0CC1">
        <w:t>(</w:t>
      </w:r>
      <w:proofErr w:type="spellStart"/>
      <w:r w:rsidRPr="005D0CC1">
        <w:t>r</w:t>
      </w:r>
      <w:r w:rsidRPr="005D0CC1">
        <w:rPr>
          <w:vertAlign w:val="subscript"/>
        </w:rPr>
        <w:t>m</w:t>
      </w:r>
      <w:proofErr w:type="spellEnd"/>
      <w:r w:rsidRPr="005D0CC1">
        <w:t>)/</w:t>
      </w:r>
      <w:proofErr w:type="spellStart"/>
      <w:r w:rsidRPr="005D0CC1">
        <w:t>Var</w:t>
      </w:r>
      <w:proofErr w:type="spellEnd"/>
      <w:r w:rsidRPr="005D0CC1">
        <w:t>(</w:t>
      </w:r>
      <w:proofErr w:type="spellStart"/>
      <w:r w:rsidRPr="005D0CC1">
        <w:t>r</w:t>
      </w:r>
      <w:r w:rsidRPr="005D0CC1">
        <w:rPr>
          <w:vertAlign w:val="subscript"/>
        </w:rPr>
        <w:t>m</w:t>
      </w:r>
      <w:proofErr w:type="spellEnd"/>
      <w:r w:rsidRPr="005D0CC1">
        <w:t>)</w:t>
      </w:r>
      <w:r w:rsidR="005D0CC1">
        <w:t xml:space="preserve"> </w:t>
      </w:r>
      <w:r w:rsidRPr="005D0CC1">
        <w:t>=</w:t>
      </w:r>
      <w:r w:rsidR="005D0CC1">
        <w:t xml:space="preserve"> </w:t>
      </w:r>
      <w:r w:rsidRPr="005D0CC1">
        <w:t>1</w:t>
      </w:r>
      <w:r w:rsidRPr="00C56B23">
        <w:t xml:space="preserve">, </w:t>
      </w:r>
      <w:r w:rsidR="002F2A6C">
        <w:t>since</w:t>
      </w:r>
      <w:r w:rsidRPr="00C56B23">
        <w:t xml:space="preserve"> the covariance of any asset with itself is the variance of that asset.</w:t>
      </w:r>
    </w:p>
    <w:p w:rsidR="003D0860" w:rsidRPr="00C56B23" w:rsidRDefault="003D0860" w:rsidP="00C16183"/>
    <w:sectPr w:rsidR="003D0860" w:rsidRPr="00C56B23" w:rsidSect="00C07B24">
      <w:footerReference w:type="even" r:id="rId28"/>
      <w:footerReference w:type="default" r:id="rId2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5AF" w:rsidRDefault="005B35AF">
      <w:r>
        <w:separator/>
      </w:r>
    </w:p>
  </w:endnote>
  <w:endnote w:type="continuationSeparator" w:id="0">
    <w:p w:rsidR="005B35AF" w:rsidRDefault="005B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60" w:rsidRDefault="007A1B60" w:rsidP="000751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A1B60" w:rsidRDefault="007A1B60" w:rsidP="00AF6A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60" w:rsidRDefault="007A1B60" w:rsidP="000751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2A6C">
      <w:rPr>
        <w:rStyle w:val="PageNumber"/>
        <w:noProof/>
      </w:rPr>
      <w:t>1</w:t>
    </w:r>
    <w:r>
      <w:rPr>
        <w:rStyle w:val="PageNumber"/>
      </w:rPr>
      <w:fldChar w:fldCharType="end"/>
    </w:r>
  </w:p>
  <w:p w:rsidR="007A1B60" w:rsidRDefault="007A1B60" w:rsidP="00AF6A0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5AF" w:rsidRDefault="005B35AF">
      <w:r>
        <w:separator/>
      </w:r>
    </w:p>
  </w:footnote>
  <w:footnote w:type="continuationSeparator" w:id="0">
    <w:p w:rsidR="005B35AF" w:rsidRDefault="005B3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B49"/>
    <w:multiLevelType w:val="hybridMultilevel"/>
    <w:tmpl w:val="C30AD540"/>
    <w:lvl w:ilvl="0" w:tplc="04090005">
      <w:start w:val="1"/>
      <w:numFmt w:val="bullet"/>
      <w:lvlText w:val=""/>
      <w:lvlJc w:val="left"/>
      <w:pPr>
        <w:tabs>
          <w:tab w:val="num" w:pos="1080"/>
        </w:tabs>
        <w:ind w:left="1080" w:hanging="360"/>
      </w:pPr>
      <w:rPr>
        <w:rFonts w:ascii="Wingdings" w:hAnsi="Wingdings" w:hint="default"/>
      </w:rPr>
    </w:lvl>
    <w:lvl w:ilvl="1" w:tplc="B9569522">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23977EB"/>
    <w:multiLevelType w:val="hybridMultilevel"/>
    <w:tmpl w:val="B7D84A9E"/>
    <w:lvl w:ilvl="0" w:tplc="04090001">
      <w:start w:val="1"/>
      <w:numFmt w:val="bullet"/>
      <w:lvlText w:val=""/>
      <w:lvlJc w:val="left"/>
      <w:pPr>
        <w:tabs>
          <w:tab w:val="num" w:pos="720"/>
        </w:tabs>
        <w:ind w:left="720" w:hanging="360"/>
      </w:pPr>
      <w:rPr>
        <w:rFonts w:ascii="Symbol" w:hAnsi="Symbol" w:hint="default"/>
      </w:rPr>
    </w:lvl>
    <w:lvl w:ilvl="1" w:tplc="FF2E2886">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D">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571B1F"/>
    <w:multiLevelType w:val="hybridMultilevel"/>
    <w:tmpl w:val="2B6E8044"/>
    <w:lvl w:ilvl="0" w:tplc="6120964A">
      <w:start w:val="1"/>
      <w:numFmt w:val="lowerLetter"/>
      <w:lvlText w:val="%1)"/>
      <w:lvlJc w:val="left"/>
      <w:pPr>
        <w:tabs>
          <w:tab w:val="num" w:pos="1080"/>
        </w:tabs>
        <w:ind w:left="1080" w:hanging="360"/>
      </w:pPr>
      <w:rPr>
        <w:rFonts w:hint="default"/>
      </w:rPr>
    </w:lvl>
    <w:lvl w:ilvl="1" w:tplc="68E247D2">
      <w:start w:val="1"/>
      <w:numFmt w:val="decimal"/>
      <w:lvlText w:val="%2."/>
      <w:lvlJc w:val="left"/>
      <w:pPr>
        <w:tabs>
          <w:tab w:val="num" w:pos="1800"/>
        </w:tabs>
        <w:ind w:left="1800" w:hanging="360"/>
      </w:pPr>
      <w:rPr>
        <w:rFonts w:hint="default"/>
      </w:rPr>
    </w:lvl>
    <w:lvl w:ilvl="2" w:tplc="4202977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BD678A"/>
    <w:multiLevelType w:val="hybridMultilevel"/>
    <w:tmpl w:val="24F2AC3C"/>
    <w:lvl w:ilvl="0" w:tplc="F22897B2">
      <w:start w:val="1"/>
      <w:numFmt w:val="bullet"/>
      <w:pStyle w:val="MTDisplayEquation"/>
      <w:lvlText w:val=""/>
      <w:lvlJc w:val="left"/>
      <w:pPr>
        <w:tabs>
          <w:tab w:val="num" w:pos="1800"/>
        </w:tabs>
        <w:ind w:left="1800" w:hanging="360"/>
      </w:pPr>
      <w:rPr>
        <w:rFonts w:ascii="Wingdings" w:hAnsi="Wingdings" w:hint="default"/>
      </w:rPr>
    </w:lvl>
    <w:lvl w:ilvl="1" w:tplc="0409000D">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0F1434F3"/>
    <w:multiLevelType w:val="hybridMultilevel"/>
    <w:tmpl w:val="81DC6A3E"/>
    <w:lvl w:ilvl="0" w:tplc="0409000D">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842FA1"/>
    <w:multiLevelType w:val="hybridMultilevel"/>
    <w:tmpl w:val="D07E1E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445100"/>
    <w:multiLevelType w:val="multilevel"/>
    <w:tmpl w:val="F8A8CD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7E845AD"/>
    <w:multiLevelType w:val="hybridMultilevel"/>
    <w:tmpl w:val="E1B6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62B45"/>
    <w:multiLevelType w:val="hybridMultilevel"/>
    <w:tmpl w:val="64C41ECA"/>
    <w:lvl w:ilvl="0" w:tplc="04090011">
      <w:start w:val="1"/>
      <w:numFmt w:val="decimal"/>
      <w:lvlText w:val="%1)"/>
      <w:lvlJc w:val="left"/>
      <w:pPr>
        <w:tabs>
          <w:tab w:val="num" w:pos="720"/>
        </w:tabs>
        <w:ind w:left="720" w:hanging="360"/>
      </w:pPr>
      <w:rPr>
        <w:rFonts w:hint="default"/>
      </w:rPr>
    </w:lvl>
    <w:lvl w:ilvl="1" w:tplc="7F74E37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360BA7"/>
    <w:multiLevelType w:val="hybridMultilevel"/>
    <w:tmpl w:val="B0BA3F86"/>
    <w:lvl w:ilvl="0" w:tplc="DDAA5910">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56C2E2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D0D357D"/>
    <w:multiLevelType w:val="hybridMultilevel"/>
    <w:tmpl w:val="85F45FCC"/>
    <w:lvl w:ilvl="0" w:tplc="C8E45D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07E2D5A"/>
    <w:multiLevelType w:val="hybridMultilevel"/>
    <w:tmpl w:val="214008E0"/>
    <w:lvl w:ilvl="0" w:tplc="0F1C1832">
      <w:start w:val="1"/>
      <w:numFmt w:val="bullet"/>
      <w:lvlText w:val="-"/>
      <w:lvlJc w:val="left"/>
      <w:pPr>
        <w:tabs>
          <w:tab w:val="num" w:pos="5760"/>
        </w:tabs>
        <w:ind w:left="5760" w:hanging="360"/>
      </w:pPr>
      <w:rPr>
        <w:rFonts w:ascii="Times New Roman" w:eastAsia="Times New Roman" w:hAnsi="Times New Roman" w:cs="Times New Roman" w:hint="default"/>
      </w:rPr>
    </w:lvl>
    <w:lvl w:ilvl="1" w:tplc="0409000D">
      <w:start w:val="1"/>
      <w:numFmt w:val="bullet"/>
      <w:lvlText w:val=""/>
      <w:lvlJc w:val="left"/>
      <w:pPr>
        <w:tabs>
          <w:tab w:val="num" w:pos="6480"/>
        </w:tabs>
        <w:ind w:left="6480" w:hanging="360"/>
      </w:pPr>
      <w:rPr>
        <w:rFonts w:ascii="Wingdings" w:hAnsi="Wingdings"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12">
    <w:nsid w:val="21A32B41"/>
    <w:multiLevelType w:val="hybridMultilevel"/>
    <w:tmpl w:val="B7082ABA"/>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932DEE"/>
    <w:multiLevelType w:val="hybridMultilevel"/>
    <w:tmpl w:val="658056B8"/>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3EDAA560">
      <w:start w:val="1"/>
      <w:numFmt w:val="decimal"/>
      <w:lvlText w:val="%3."/>
      <w:lvlJc w:val="left"/>
      <w:pPr>
        <w:tabs>
          <w:tab w:val="num" w:pos="2340"/>
        </w:tabs>
        <w:ind w:left="2340" w:hanging="360"/>
      </w:pPr>
      <w:rPr>
        <w:rFonts w:hint="default"/>
      </w:rPr>
    </w:lvl>
    <w:lvl w:ilvl="3" w:tplc="0409001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C51746"/>
    <w:multiLevelType w:val="hybridMultilevel"/>
    <w:tmpl w:val="0E2E6BC6"/>
    <w:lvl w:ilvl="0" w:tplc="EE246B98">
      <w:start w:val="1"/>
      <w:numFmt w:val="decimal"/>
      <w:lvlText w:val="%1)"/>
      <w:lvlJc w:val="left"/>
      <w:pPr>
        <w:tabs>
          <w:tab w:val="num" w:pos="1080"/>
        </w:tabs>
        <w:ind w:left="108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F5E57D1"/>
    <w:multiLevelType w:val="hybridMultilevel"/>
    <w:tmpl w:val="6BA8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932AD6"/>
    <w:multiLevelType w:val="hybridMultilevel"/>
    <w:tmpl w:val="5C4C5F8A"/>
    <w:lvl w:ilvl="0" w:tplc="2C0045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38E0CA9"/>
    <w:multiLevelType w:val="hybridMultilevel"/>
    <w:tmpl w:val="AD84300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8C51BA8"/>
    <w:multiLevelType w:val="hybridMultilevel"/>
    <w:tmpl w:val="89503BD0"/>
    <w:lvl w:ilvl="0" w:tplc="233C06DC">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CDA3BF2"/>
    <w:multiLevelType w:val="hybridMultilevel"/>
    <w:tmpl w:val="3750555E"/>
    <w:lvl w:ilvl="0" w:tplc="04090005">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CDC7A82"/>
    <w:multiLevelType w:val="hybridMultilevel"/>
    <w:tmpl w:val="87C65C98"/>
    <w:lvl w:ilvl="0" w:tplc="579444AE">
      <w:start w:val="1"/>
      <w:numFmt w:val="lowerLetter"/>
      <w:lvlText w:val="%1)"/>
      <w:lvlJc w:val="left"/>
      <w:pPr>
        <w:tabs>
          <w:tab w:val="num" w:pos="1080"/>
        </w:tabs>
        <w:ind w:left="1080" w:hanging="360"/>
      </w:pPr>
      <w:rPr>
        <w:rFonts w:hint="default"/>
      </w:rPr>
    </w:lvl>
    <w:lvl w:ilvl="1" w:tplc="BFA0164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EC53DAE"/>
    <w:multiLevelType w:val="hybridMultilevel"/>
    <w:tmpl w:val="D0305448"/>
    <w:lvl w:ilvl="0" w:tplc="F42A873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224456"/>
    <w:multiLevelType w:val="hybridMultilevel"/>
    <w:tmpl w:val="95601F60"/>
    <w:lvl w:ilvl="0" w:tplc="EF02B5C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3D1FE0"/>
    <w:multiLevelType w:val="multilevel"/>
    <w:tmpl w:val="95601F60"/>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5337B86"/>
    <w:multiLevelType w:val="hybridMultilevel"/>
    <w:tmpl w:val="28908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EF08EE"/>
    <w:multiLevelType w:val="hybridMultilevel"/>
    <w:tmpl w:val="2FE8553A"/>
    <w:lvl w:ilvl="0" w:tplc="73FC18D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F25EB4"/>
    <w:multiLevelType w:val="hybridMultilevel"/>
    <w:tmpl w:val="3C109F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6B921966">
      <w:start w:val="49"/>
      <w:numFmt w:val="bullet"/>
      <w:lvlText w:val="-"/>
      <w:lvlJc w:val="left"/>
      <w:pPr>
        <w:tabs>
          <w:tab w:val="num" w:pos="2880"/>
        </w:tabs>
        <w:ind w:left="2880" w:hanging="360"/>
      </w:pPr>
      <w:rPr>
        <w:rFonts w:ascii="Times New Roman" w:eastAsia="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B063D4"/>
    <w:multiLevelType w:val="hybridMultilevel"/>
    <w:tmpl w:val="949EFA82"/>
    <w:lvl w:ilvl="0" w:tplc="06B0F778">
      <w:start w:val="1"/>
      <w:numFmt w:val="decimal"/>
      <w:lvlText w:val="%1."/>
      <w:lvlJc w:val="left"/>
      <w:pPr>
        <w:tabs>
          <w:tab w:val="num" w:pos="1080"/>
        </w:tabs>
        <w:ind w:left="1080" w:hanging="360"/>
      </w:pPr>
      <w:rPr>
        <w:rFonts w:hint="default"/>
      </w:rPr>
    </w:lvl>
    <w:lvl w:ilvl="1" w:tplc="0409000D">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03842F6"/>
    <w:multiLevelType w:val="hybridMultilevel"/>
    <w:tmpl w:val="1EB0CE4A"/>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0841DC9"/>
    <w:multiLevelType w:val="hybridMultilevel"/>
    <w:tmpl w:val="99AA83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1393E28"/>
    <w:multiLevelType w:val="multilevel"/>
    <w:tmpl w:val="D07E1E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2264326"/>
    <w:multiLevelType w:val="hybridMultilevel"/>
    <w:tmpl w:val="B016EB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6F07075"/>
    <w:multiLevelType w:val="hybridMultilevel"/>
    <w:tmpl w:val="7D5EFC20"/>
    <w:lvl w:ilvl="0" w:tplc="FBC453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ADC68BB"/>
    <w:multiLevelType w:val="hybridMultilevel"/>
    <w:tmpl w:val="2D5EC58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5CD3511E"/>
    <w:multiLevelType w:val="hybridMultilevel"/>
    <w:tmpl w:val="41B06B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00852C8"/>
    <w:multiLevelType w:val="hybridMultilevel"/>
    <w:tmpl w:val="0176480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40572F6"/>
    <w:multiLevelType w:val="hybridMultilevel"/>
    <w:tmpl w:val="FC7A870E"/>
    <w:lvl w:ilvl="0" w:tplc="F76A54B4">
      <w:start w:val="1"/>
      <w:numFmt w:val="decimal"/>
      <w:lvlText w:val="%1)"/>
      <w:lvlJc w:val="left"/>
      <w:pPr>
        <w:tabs>
          <w:tab w:val="num" w:pos="1080"/>
        </w:tabs>
        <w:ind w:left="1080" w:hanging="360"/>
      </w:pPr>
      <w:rPr>
        <w:rFonts w:hint="default"/>
      </w:rPr>
    </w:lvl>
    <w:lvl w:ilvl="1" w:tplc="73FC18D0">
      <w:numFmt w:val="bullet"/>
      <w:lvlText w:val="-"/>
      <w:lvlJc w:val="left"/>
      <w:pPr>
        <w:tabs>
          <w:tab w:val="num" w:pos="1800"/>
        </w:tabs>
        <w:ind w:left="1800" w:hanging="360"/>
      </w:pPr>
      <w:rPr>
        <w:rFonts w:ascii="Times New Roman" w:eastAsia="Times New Roman" w:hAnsi="Times New Roman"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BAB5172"/>
    <w:multiLevelType w:val="hybridMultilevel"/>
    <w:tmpl w:val="8402B7CA"/>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C8E59A7"/>
    <w:multiLevelType w:val="hybridMultilevel"/>
    <w:tmpl w:val="7084ED7C"/>
    <w:lvl w:ilvl="0" w:tplc="BB8CA2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D03792"/>
    <w:multiLevelType w:val="hybridMultilevel"/>
    <w:tmpl w:val="5C34D238"/>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DE6666E"/>
    <w:multiLevelType w:val="hybridMultilevel"/>
    <w:tmpl w:val="26D29D8E"/>
    <w:lvl w:ilvl="0" w:tplc="651EAD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EF63028"/>
    <w:multiLevelType w:val="hybridMultilevel"/>
    <w:tmpl w:val="D3BEC786"/>
    <w:lvl w:ilvl="0" w:tplc="1D22135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6FD349F9"/>
    <w:multiLevelType w:val="hybridMultilevel"/>
    <w:tmpl w:val="E3FCF2FC"/>
    <w:lvl w:ilvl="0" w:tplc="4B14CB3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8134CF"/>
    <w:multiLevelType w:val="hybridMultilevel"/>
    <w:tmpl w:val="CCAC9FF2"/>
    <w:lvl w:ilvl="0" w:tplc="7A8A8E52">
      <w:start w:val="1"/>
      <w:numFmt w:val="lowerLetter"/>
      <w:lvlText w:val="%1)"/>
      <w:lvlJc w:val="left"/>
      <w:pPr>
        <w:tabs>
          <w:tab w:val="num" w:pos="1440"/>
        </w:tabs>
        <w:ind w:left="1440" w:hanging="360"/>
      </w:pPr>
      <w:rPr>
        <w:rFonts w:hint="default"/>
      </w:rPr>
    </w:lvl>
    <w:lvl w:ilvl="1" w:tplc="BEF07D3C">
      <w:start w:val="1"/>
      <w:numFmt w:val="decimal"/>
      <w:lvlText w:val="%2)"/>
      <w:lvlJc w:val="left"/>
      <w:pPr>
        <w:tabs>
          <w:tab w:val="num" w:pos="2160"/>
        </w:tabs>
        <w:ind w:left="2160" w:hanging="360"/>
      </w:pPr>
      <w:rPr>
        <w:rFonts w:hint="default"/>
      </w:rPr>
    </w:lvl>
    <w:lvl w:ilvl="2" w:tplc="0409000D">
      <w:start w:val="1"/>
      <w:numFmt w:val="bullet"/>
      <w:lvlText w:val=""/>
      <w:lvlJc w:val="left"/>
      <w:pPr>
        <w:tabs>
          <w:tab w:val="num" w:pos="3060"/>
        </w:tabs>
        <w:ind w:left="3060" w:hanging="360"/>
      </w:pPr>
      <w:rPr>
        <w:rFonts w:ascii="Wingdings" w:hAnsi="Wingding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72BC6D08"/>
    <w:multiLevelType w:val="hybridMultilevel"/>
    <w:tmpl w:val="41049A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34A4032"/>
    <w:multiLevelType w:val="hybridMultilevel"/>
    <w:tmpl w:val="F8A8CDA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9"/>
  </w:num>
  <w:num w:numId="4">
    <w:abstractNumId w:val="29"/>
  </w:num>
  <w:num w:numId="5">
    <w:abstractNumId w:val="22"/>
  </w:num>
  <w:num w:numId="6">
    <w:abstractNumId w:val="23"/>
  </w:num>
  <w:num w:numId="7">
    <w:abstractNumId w:val="4"/>
  </w:num>
  <w:num w:numId="8">
    <w:abstractNumId w:val="35"/>
  </w:num>
  <w:num w:numId="9">
    <w:abstractNumId w:val="20"/>
  </w:num>
  <w:num w:numId="10">
    <w:abstractNumId w:val="21"/>
  </w:num>
  <w:num w:numId="11">
    <w:abstractNumId w:val="38"/>
  </w:num>
  <w:num w:numId="12">
    <w:abstractNumId w:val="1"/>
  </w:num>
  <w:num w:numId="13">
    <w:abstractNumId w:val="25"/>
  </w:num>
  <w:num w:numId="14">
    <w:abstractNumId w:val="36"/>
  </w:num>
  <w:num w:numId="15">
    <w:abstractNumId w:val="28"/>
  </w:num>
  <w:num w:numId="16">
    <w:abstractNumId w:val="27"/>
  </w:num>
  <w:num w:numId="17">
    <w:abstractNumId w:val="3"/>
  </w:num>
  <w:num w:numId="18">
    <w:abstractNumId w:val="45"/>
  </w:num>
  <w:num w:numId="19">
    <w:abstractNumId w:val="6"/>
  </w:num>
  <w:num w:numId="20">
    <w:abstractNumId w:val="12"/>
  </w:num>
  <w:num w:numId="21">
    <w:abstractNumId w:val="5"/>
  </w:num>
  <w:num w:numId="22">
    <w:abstractNumId w:val="30"/>
  </w:num>
  <w:num w:numId="23">
    <w:abstractNumId w:val="31"/>
  </w:num>
  <w:num w:numId="24">
    <w:abstractNumId w:val="16"/>
  </w:num>
  <w:num w:numId="25">
    <w:abstractNumId w:val="9"/>
  </w:num>
  <w:num w:numId="26">
    <w:abstractNumId w:val="44"/>
  </w:num>
  <w:num w:numId="27">
    <w:abstractNumId w:val="26"/>
  </w:num>
  <w:num w:numId="28">
    <w:abstractNumId w:val="39"/>
  </w:num>
  <w:num w:numId="29">
    <w:abstractNumId w:val="41"/>
  </w:num>
  <w:num w:numId="30">
    <w:abstractNumId w:val="37"/>
  </w:num>
  <w:num w:numId="31">
    <w:abstractNumId w:val="33"/>
  </w:num>
  <w:num w:numId="32">
    <w:abstractNumId w:val="2"/>
  </w:num>
  <w:num w:numId="33">
    <w:abstractNumId w:val="24"/>
  </w:num>
  <w:num w:numId="34">
    <w:abstractNumId w:val="8"/>
  </w:num>
  <w:num w:numId="35">
    <w:abstractNumId w:val="18"/>
  </w:num>
  <w:num w:numId="36">
    <w:abstractNumId w:val="43"/>
  </w:num>
  <w:num w:numId="37">
    <w:abstractNumId w:val="34"/>
  </w:num>
  <w:num w:numId="38">
    <w:abstractNumId w:val="17"/>
  </w:num>
  <w:num w:numId="39">
    <w:abstractNumId w:val="14"/>
  </w:num>
  <w:num w:numId="40">
    <w:abstractNumId w:val="13"/>
  </w:num>
  <w:num w:numId="41">
    <w:abstractNumId w:val="0"/>
  </w:num>
  <w:num w:numId="42">
    <w:abstractNumId w:val="32"/>
  </w:num>
  <w:num w:numId="43">
    <w:abstractNumId w:val="40"/>
  </w:num>
  <w:num w:numId="44">
    <w:abstractNumId w:val="42"/>
  </w:num>
  <w:num w:numId="45">
    <w:abstractNumId w:val="15"/>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E59"/>
    <w:rsid w:val="00027E3A"/>
    <w:rsid w:val="0004191B"/>
    <w:rsid w:val="00044E4A"/>
    <w:rsid w:val="000461EE"/>
    <w:rsid w:val="0004687F"/>
    <w:rsid w:val="00075192"/>
    <w:rsid w:val="00075ECF"/>
    <w:rsid w:val="00077B3C"/>
    <w:rsid w:val="00086F09"/>
    <w:rsid w:val="00095FCE"/>
    <w:rsid w:val="000A20D6"/>
    <w:rsid w:val="000A4638"/>
    <w:rsid w:val="000E74F1"/>
    <w:rsid w:val="00110BBD"/>
    <w:rsid w:val="00112D35"/>
    <w:rsid w:val="00117EA1"/>
    <w:rsid w:val="00127053"/>
    <w:rsid w:val="001315B6"/>
    <w:rsid w:val="00143052"/>
    <w:rsid w:val="00161B99"/>
    <w:rsid w:val="001662C6"/>
    <w:rsid w:val="0017083B"/>
    <w:rsid w:val="00177EE4"/>
    <w:rsid w:val="00182964"/>
    <w:rsid w:val="001D200F"/>
    <w:rsid w:val="001D5C41"/>
    <w:rsid w:val="001E196B"/>
    <w:rsid w:val="001E3835"/>
    <w:rsid w:val="001F3840"/>
    <w:rsid w:val="001F6CD9"/>
    <w:rsid w:val="00200DDB"/>
    <w:rsid w:val="0021315F"/>
    <w:rsid w:val="00213F27"/>
    <w:rsid w:val="00221B8B"/>
    <w:rsid w:val="00246F10"/>
    <w:rsid w:val="00254716"/>
    <w:rsid w:val="002606C9"/>
    <w:rsid w:val="00262FFD"/>
    <w:rsid w:val="00272779"/>
    <w:rsid w:val="002744FF"/>
    <w:rsid w:val="002749BA"/>
    <w:rsid w:val="002979DB"/>
    <w:rsid w:val="002B6DDC"/>
    <w:rsid w:val="002D46F3"/>
    <w:rsid w:val="002E2A5C"/>
    <w:rsid w:val="002E6884"/>
    <w:rsid w:val="002F2A6C"/>
    <w:rsid w:val="002F5E17"/>
    <w:rsid w:val="00304853"/>
    <w:rsid w:val="0031104F"/>
    <w:rsid w:val="0031199F"/>
    <w:rsid w:val="00312369"/>
    <w:rsid w:val="00312E5E"/>
    <w:rsid w:val="00316DAE"/>
    <w:rsid w:val="003235F2"/>
    <w:rsid w:val="00332071"/>
    <w:rsid w:val="003349D6"/>
    <w:rsid w:val="003431ED"/>
    <w:rsid w:val="003535AE"/>
    <w:rsid w:val="00364826"/>
    <w:rsid w:val="0037408E"/>
    <w:rsid w:val="003873F8"/>
    <w:rsid w:val="003A003E"/>
    <w:rsid w:val="003A60FA"/>
    <w:rsid w:val="003B4FA7"/>
    <w:rsid w:val="003C315F"/>
    <w:rsid w:val="003C5198"/>
    <w:rsid w:val="003D0860"/>
    <w:rsid w:val="003D6FB8"/>
    <w:rsid w:val="004145E9"/>
    <w:rsid w:val="004164AC"/>
    <w:rsid w:val="00424B2F"/>
    <w:rsid w:val="00442FE3"/>
    <w:rsid w:val="0045723B"/>
    <w:rsid w:val="00457911"/>
    <w:rsid w:val="00471817"/>
    <w:rsid w:val="004719FE"/>
    <w:rsid w:val="00480809"/>
    <w:rsid w:val="00485118"/>
    <w:rsid w:val="00494B12"/>
    <w:rsid w:val="00496092"/>
    <w:rsid w:val="004A2983"/>
    <w:rsid w:val="004B355D"/>
    <w:rsid w:val="004B3E65"/>
    <w:rsid w:val="004C0013"/>
    <w:rsid w:val="004C143A"/>
    <w:rsid w:val="004C2A39"/>
    <w:rsid w:val="004C3F39"/>
    <w:rsid w:val="004D2E4C"/>
    <w:rsid w:val="004D6003"/>
    <w:rsid w:val="004E4CB0"/>
    <w:rsid w:val="004F1478"/>
    <w:rsid w:val="0050303E"/>
    <w:rsid w:val="0050668A"/>
    <w:rsid w:val="005241B4"/>
    <w:rsid w:val="00546FB6"/>
    <w:rsid w:val="00581620"/>
    <w:rsid w:val="00592A8E"/>
    <w:rsid w:val="005966CB"/>
    <w:rsid w:val="005A0A4C"/>
    <w:rsid w:val="005B0121"/>
    <w:rsid w:val="005B35AF"/>
    <w:rsid w:val="005D0CC1"/>
    <w:rsid w:val="005D14DC"/>
    <w:rsid w:val="005D5C8A"/>
    <w:rsid w:val="005F173F"/>
    <w:rsid w:val="005F3A32"/>
    <w:rsid w:val="00614978"/>
    <w:rsid w:val="00623914"/>
    <w:rsid w:val="00641153"/>
    <w:rsid w:val="006412E9"/>
    <w:rsid w:val="00660B46"/>
    <w:rsid w:val="00667C90"/>
    <w:rsid w:val="00672668"/>
    <w:rsid w:val="00681EB6"/>
    <w:rsid w:val="00684193"/>
    <w:rsid w:val="00684F54"/>
    <w:rsid w:val="006B480A"/>
    <w:rsid w:val="006C3D87"/>
    <w:rsid w:val="006C69D2"/>
    <w:rsid w:val="006D16B2"/>
    <w:rsid w:val="006D42B3"/>
    <w:rsid w:val="0070391C"/>
    <w:rsid w:val="00710CBA"/>
    <w:rsid w:val="00716E94"/>
    <w:rsid w:val="00740B01"/>
    <w:rsid w:val="00743402"/>
    <w:rsid w:val="007553F7"/>
    <w:rsid w:val="0077126B"/>
    <w:rsid w:val="007740F7"/>
    <w:rsid w:val="00775D83"/>
    <w:rsid w:val="00786F1B"/>
    <w:rsid w:val="00794F0B"/>
    <w:rsid w:val="007A1B60"/>
    <w:rsid w:val="007B5291"/>
    <w:rsid w:val="007B5609"/>
    <w:rsid w:val="007D1718"/>
    <w:rsid w:val="007F2067"/>
    <w:rsid w:val="007F7B0A"/>
    <w:rsid w:val="00802E34"/>
    <w:rsid w:val="00815832"/>
    <w:rsid w:val="008171C9"/>
    <w:rsid w:val="00825C8C"/>
    <w:rsid w:val="00832E59"/>
    <w:rsid w:val="0085058A"/>
    <w:rsid w:val="00873C13"/>
    <w:rsid w:val="00883688"/>
    <w:rsid w:val="008A3E6C"/>
    <w:rsid w:val="008B09B2"/>
    <w:rsid w:val="008E0043"/>
    <w:rsid w:val="008E30D7"/>
    <w:rsid w:val="008F7BBF"/>
    <w:rsid w:val="00900F40"/>
    <w:rsid w:val="009053F0"/>
    <w:rsid w:val="00914338"/>
    <w:rsid w:val="00922135"/>
    <w:rsid w:val="009249AF"/>
    <w:rsid w:val="009272B1"/>
    <w:rsid w:val="009360A3"/>
    <w:rsid w:val="00941973"/>
    <w:rsid w:val="009610A3"/>
    <w:rsid w:val="00966883"/>
    <w:rsid w:val="009676C0"/>
    <w:rsid w:val="00970B93"/>
    <w:rsid w:val="009862F5"/>
    <w:rsid w:val="009A1DD4"/>
    <w:rsid w:val="009A39ED"/>
    <w:rsid w:val="009C5030"/>
    <w:rsid w:val="009C7179"/>
    <w:rsid w:val="009D13C3"/>
    <w:rsid w:val="009D2826"/>
    <w:rsid w:val="00A00D8F"/>
    <w:rsid w:val="00A2060C"/>
    <w:rsid w:val="00A229A5"/>
    <w:rsid w:val="00A23C7F"/>
    <w:rsid w:val="00A545E9"/>
    <w:rsid w:val="00A65A4A"/>
    <w:rsid w:val="00A84E5B"/>
    <w:rsid w:val="00AA282C"/>
    <w:rsid w:val="00AB27DA"/>
    <w:rsid w:val="00AB3EFF"/>
    <w:rsid w:val="00AB5699"/>
    <w:rsid w:val="00AF6A0B"/>
    <w:rsid w:val="00B3016F"/>
    <w:rsid w:val="00B36C76"/>
    <w:rsid w:val="00B37E7E"/>
    <w:rsid w:val="00B40DC3"/>
    <w:rsid w:val="00B627EB"/>
    <w:rsid w:val="00B64937"/>
    <w:rsid w:val="00B6631C"/>
    <w:rsid w:val="00B82D45"/>
    <w:rsid w:val="00B840A4"/>
    <w:rsid w:val="00BE1561"/>
    <w:rsid w:val="00BE36E6"/>
    <w:rsid w:val="00BF7547"/>
    <w:rsid w:val="00BF75C6"/>
    <w:rsid w:val="00C07B24"/>
    <w:rsid w:val="00C12296"/>
    <w:rsid w:val="00C16183"/>
    <w:rsid w:val="00C26103"/>
    <w:rsid w:val="00C31BD2"/>
    <w:rsid w:val="00C505C4"/>
    <w:rsid w:val="00C56B23"/>
    <w:rsid w:val="00C621C7"/>
    <w:rsid w:val="00C65C1A"/>
    <w:rsid w:val="00C7140D"/>
    <w:rsid w:val="00C73AF0"/>
    <w:rsid w:val="00C74586"/>
    <w:rsid w:val="00C84D0F"/>
    <w:rsid w:val="00C90C1C"/>
    <w:rsid w:val="00C90C8A"/>
    <w:rsid w:val="00C91C4C"/>
    <w:rsid w:val="00CA68D3"/>
    <w:rsid w:val="00CB4B47"/>
    <w:rsid w:val="00CC628A"/>
    <w:rsid w:val="00CC7571"/>
    <w:rsid w:val="00CD460F"/>
    <w:rsid w:val="00CF1030"/>
    <w:rsid w:val="00CF59D3"/>
    <w:rsid w:val="00D01620"/>
    <w:rsid w:val="00D07085"/>
    <w:rsid w:val="00D11A86"/>
    <w:rsid w:val="00D33D2C"/>
    <w:rsid w:val="00D40707"/>
    <w:rsid w:val="00D430B2"/>
    <w:rsid w:val="00D4749C"/>
    <w:rsid w:val="00D47A82"/>
    <w:rsid w:val="00D74FED"/>
    <w:rsid w:val="00D86866"/>
    <w:rsid w:val="00DB27E9"/>
    <w:rsid w:val="00DE5F02"/>
    <w:rsid w:val="00E02940"/>
    <w:rsid w:val="00E04B97"/>
    <w:rsid w:val="00E05E5F"/>
    <w:rsid w:val="00E12401"/>
    <w:rsid w:val="00E12681"/>
    <w:rsid w:val="00E223CA"/>
    <w:rsid w:val="00E50106"/>
    <w:rsid w:val="00E56EE6"/>
    <w:rsid w:val="00E74FAA"/>
    <w:rsid w:val="00EC6231"/>
    <w:rsid w:val="00EC664B"/>
    <w:rsid w:val="00EC7E0F"/>
    <w:rsid w:val="00ED708A"/>
    <w:rsid w:val="00ED72D3"/>
    <w:rsid w:val="00EE3261"/>
    <w:rsid w:val="00F054AE"/>
    <w:rsid w:val="00F2030E"/>
    <w:rsid w:val="00F560CD"/>
    <w:rsid w:val="00F56CA2"/>
    <w:rsid w:val="00F62193"/>
    <w:rsid w:val="00F64F09"/>
    <w:rsid w:val="00F82403"/>
    <w:rsid w:val="00F82A3A"/>
    <w:rsid w:val="00F86389"/>
    <w:rsid w:val="00F91F22"/>
    <w:rsid w:val="00F9634A"/>
    <w:rsid w:val="00FA3C47"/>
    <w:rsid w:val="00FA5E7E"/>
    <w:rsid w:val="00FB6DFC"/>
    <w:rsid w:val="00FB7234"/>
    <w:rsid w:val="00FC6D41"/>
    <w:rsid w:val="00FC6F58"/>
    <w:rsid w:val="00FE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7E0F"/>
    <w:rPr>
      <w:sz w:val="24"/>
      <w:szCs w:val="24"/>
    </w:rPr>
  </w:style>
  <w:style w:type="paragraph" w:styleId="Heading3">
    <w:name w:val="heading 3"/>
    <w:basedOn w:val="Normal"/>
    <w:next w:val="Normal"/>
    <w:qFormat/>
    <w:rsid w:val="00177EE4"/>
    <w:pPr>
      <w:keepNext/>
      <w:spacing w:line="360" w:lineRule="auto"/>
      <w:ind w:left="360"/>
      <w:jc w:val="both"/>
      <w:outlineLvl w:val="2"/>
    </w:pPr>
    <w:rPr>
      <w:b/>
      <w:bCs/>
    </w:rPr>
  </w:style>
  <w:style w:type="paragraph" w:styleId="Heading4">
    <w:name w:val="heading 4"/>
    <w:basedOn w:val="Normal"/>
    <w:next w:val="Normal"/>
    <w:qFormat/>
    <w:rsid w:val="00546FB6"/>
    <w:pPr>
      <w:keepNext/>
      <w:spacing w:line="360" w:lineRule="auto"/>
      <w:ind w:left="360"/>
      <w:jc w:val="both"/>
      <w:outlineLvl w:val="3"/>
    </w:pPr>
    <w:rPr>
      <w:szCs w:val="20"/>
    </w:rPr>
  </w:style>
  <w:style w:type="paragraph" w:styleId="Heading5">
    <w:name w:val="heading 5"/>
    <w:basedOn w:val="Normal"/>
    <w:next w:val="Normal"/>
    <w:qFormat/>
    <w:rsid w:val="00ED72D3"/>
    <w:pPr>
      <w:keepNext/>
      <w:spacing w:line="360" w:lineRule="auto"/>
      <w:ind w:left="720"/>
      <w:jc w:val="both"/>
      <w:outlineLvl w:val="4"/>
    </w:pPr>
    <w:rPr>
      <w:szCs w:val="20"/>
    </w:rPr>
  </w:style>
  <w:style w:type="paragraph" w:styleId="Heading7">
    <w:name w:val="heading 7"/>
    <w:basedOn w:val="Normal"/>
    <w:next w:val="Normal"/>
    <w:qFormat/>
    <w:rsid w:val="00546FB6"/>
    <w:pPr>
      <w:keepNext/>
      <w:spacing w:line="360" w:lineRule="auto"/>
      <w:ind w:left="1440"/>
      <w:jc w:val="both"/>
      <w:outlineLvl w:val="6"/>
    </w:pPr>
    <w:rPr>
      <w:i/>
      <w:iCs/>
      <w:szCs w:val="20"/>
    </w:rPr>
  </w:style>
  <w:style w:type="paragraph" w:styleId="Heading8">
    <w:name w:val="heading 8"/>
    <w:basedOn w:val="Normal"/>
    <w:next w:val="Normal"/>
    <w:qFormat/>
    <w:rsid w:val="00546FB6"/>
    <w:pPr>
      <w:keepNext/>
      <w:tabs>
        <w:tab w:val="left" w:pos="360"/>
      </w:tabs>
      <w:spacing w:line="360" w:lineRule="auto"/>
      <w:ind w:left="360"/>
      <w:jc w:val="both"/>
      <w:outlineLvl w:val="7"/>
    </w:pPr>
    <w:rPr>
      <w:szCs w:val="20"/>
      <w:u w:val="single"/>
    </w:rPr>
  </w:style>
  <w:style w:type="paragraph" w:styleId="Heading9">
    <w:name w:val="heading 9"/>
    <w:basedOn w:val="Normal"/>
    <w:next w:val="Normal"/>
    <w:qFormat/>
    <w:rsid w:val="00546FB6"/>
    <w:pPr>
      <w:keepNext/>
      <w:tabs>
        <w:tab w:val="left" w:pos="360"/>
      </w:tabs>
      <w:spacing w:line="360" w:lineRule="auto"/>
      <w:jc w:val="both"/>
      <w:outlineLvl w:val="8"/>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46FB6"/>
    <w:pPr>
      <w:spacing w:line="360" w:lineRule="auto"/>
      <w:jc w:val="both"/>
    </w:pPr>
    <w:rPr>
      <w:szCs w:val="20"/>
    </w:rPr>
  </w:style>
  <w:style w:type="paragraph" w:styleId="FootnoteText">
    <w:name w:val="footnote text"/>
    <w:basedOn w:val="Normal"/>
    <w:semiHidden/>
    <w:rsid w:val="00EC664B"/>
    <w:rPr>
      <w:sz w:val="20"/>
      <w:szCs w:val="20"/>
    </w:rPr>
  </w:style>
  <w:style w:type="character" w:styleId="FootnoteReference">
    <w:name w:val="footnote reference"/>
    <w:semiHidden/>
    <w:rsid w:val="00EC664B"/>
    <w:rPr>
      <w:vertAlign w:val="superscript"/>
    </w:rPr>
  </w:style>
  <w:style w:type="paragraph" w:styleId="Footer">
    <w:name w:val="footer"/>
    <w:basedOn w:val="Normal"/>
    <w:rsid w:val="00AF6A0B"/>
    <w:pPr>
      <w:tabs>
        <w:tab w:val="center" w:pos="4320"/>
        <w:tab w:val="right" w:pos="8640"/>
      </w:tabs>
    </w:pPr>
  </w:style>
  <w:style w:type="character" w:styleId="PageNumber">
    <w:name w:val="page number"/>
    <w:basedOn w:val="DefaultParagraphFont"/>
    <w:rsid w:val="00AF6A0B"/>
  </w:style>
  <w:style w:type="paragraph" w:styleId="Header">
    <w:name w:val="header"/>
    <w:basedOn w:val="Normal"/>
    <w:rsid w:val="009D2826"/>
    <w:pPr>
      <w:tabs>
        <w:tab w:val="center" w:pos="4320"/>
        <w:tab w:val="right" w:pos="8640"/>
      </w:tabs>
    </w:pPr>
  </w:style>
  <w:style w:type="paragraph" w:styleId="BodyTextIndent3">
    <w:name w:val="Body Text Indent 3"/>
    <w:basedOn w:val="Normal"/>
    <w:rsid w:val="00ED72D3"/>
    <w:pPr>
      <w:spacing w:line="360" w:lineRule="auto"/>
      <w:ind w:left="720" w:hanging="720"/>
      <w:jc w:val="both"/>
    </w:pPr>
    <w:rPr>
      <w:szCs w:val="20"/>
    </w:rPr>
  </w:style>
  <w:style w:type="character" w:customStyle="1" w:styleId="MTEquationSection">
    <w:name w:val="MTEquationSection"/>
    <w:rsid w:val="00D40707"/>
    <w:rPr>
      <w:b/>
      <w:vanish/>
      <w:color w:val="FF0000"/>
      <w:sz w:val="26"/>
      <w:szCs w:val="26"/>
    </w:rPr>
  </w:style>
  <w:style w:type="paragraph" w:customStyle="1" w:styleId="MTDisplayEquation">
    <w:name w:val="MTDisplayEquation"/>
    <w:basedOn w:val="Normal"/>
    <w:next w:val="Normal"/>
    <w:rsid w:val="00D40707"/>
    <w:pPr>
      <w:numPr>
        <w:numId w:val="17"/>
      </w:numPr>
      <w:tabs>
        <w:tab w:val="clear" w:pos="1800"/>
        <w:tab w:val="center" w:pos="5220"/>
        <w:tab w:val="right" w:pos="8640"/>
      </w:tabs>
      <w:spacing w:line="360" w:lineRule="auto"/>
      <w:jc w:val="both"/>
    </w:pPr>
    <w:rPr>
      <w:sz w:val="26"/>
      <w:szCs w:val="26"/>
    </w:rPr>
  </w:style>
  <w:style w:type="table" w:styleId="TableGrid">
    <w:name w:val="Table Grid"/>
    <w:basedOn w:val="TableNormal"/>
    <w:rsid w:val="00C65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6C69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Paragraph">
    <w:name w:val="List Paragraph"/>
    <w:basedOn w:val="Normal"/>
    <w:uiPriority w:val="34"/>
    <w:qFormat/>
    <w:rsid w:val="00FB6D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136319">
      <w:bodyDiv w:val="1"/>
      <w:marLeft w:val="0"/>
      <w:marRight w:val="0"/>
      <w:marTop w:val="0"/>
      <w:marBottom w:val="0"/>
      <w:divBdr>
        <w:top w:val="none" w:sz="0" w:space="0" w:color="auto"/>
        <w:left w:val="none" w:sz="0" w:space="0" w:color="auto"/>
        <w:bottom w:val="none" w:sz="0" w:space="0" w:color="auto"/>
        <w:right w:val="none" w:sz="0" w:space="0" w:color="auto"/>
      </w:divBdr>
    </w:div>
    <w:div w:id="852573801">
      <w:bodyDiv w:val="1"/>
      <w:marLeft w:val="0"/>
      <w:marRight w:val="0"/>
      <w:marTop w:val="0"/>
      <w:marBottom w:val="0"/>
      <w:divBdr>
        <w:top w:val="none" w:sz="0" w:space="0" w:color="auto"/>
        <w:left w:val="none" w:sz="0" w:space="0" w:color="auto"/>
        <w:bottom w:val="none" w:sz="0" w:space="0" w:color="auto"/>
        <w:right w:val="none" w:sz="0" w:space="0" w:color="auto"/>
      </w:divBdr>
    </w:div>
    <w:div w:id="1077359065">
      <w:bodyDiv w:val="1"/>
      <w:marLeft w:val="0"/>
      <w:marRight w:val="0"/>
      <w:marTop w:val="0"/>
      <w:marBottom w:val="0"/>
      <w:divBdr>
        <w:top w:val="none" w:sz="0" w:space="0" w:color="auto"/>
        <w:left w:val="none" w:sz="0" w:space="0" w:color="auto"/>
        <w:bottom w:val="none" w:sz="0" w:space="0" w:color="auto"/>
        <w:right w:val="none" w:sz="0" w:space="0" w:color="auto"/>
      </w:divBdr>
    </w:div>
    <w:div w:id="1182403005">
      <w:bodyDiv w:val="1"/>
      <w:marLeft w:val="0"/>
      <w:marRight w:val="0"/>
      <w:marTop w:val="0"/>
      <w:marBottom w:val="0"/>
      <w:divBdr>
        <w:top w:val="none" w:sz="0" w:space="0" w:color="auto"/>
        <w:left w:val="none" w:sz="0" w:space="0" w:color="auto"/>
        <w:bottom w:val="none" w:sz="0" w:space="0" w:color="auto"/>
        <w:right w:val="none" w:sz="0" w:space="0" w:color="auto"/>
      </w:divBdr>
    </w:div>
    <w:div w:id="1395082915">
      <w:bodyDiv w:val="1"/>
      <w:marLeft w:val="0"/>
      <w:marRight w:val="0"/>
      <w:marTop w:val="0"/>
      <w:marBottom w:val="0"/>
      <w:divBdr>
        <w:top w:val="none" w:sz="0" w:space="0" w:color="auto"/>
        <w:left w:val="none" w:sz="0" w:space="0" w:color="auto"/>
        <w:bottom w:val="none" w:sz="0" w:space="0" w:color="auto"/>
        <w:right w:val="none" w:sz="0" w:space="0" w:color="auto"/>
      </w:divBdr>
    </w:div>
    <w:div w:id="1522819271">
      <w:bodyDiv w:val="1"/>
      <w:marLeft w:val="0"/>
      <w:marRight w:val="0"/>
      <w:marTop w:val="0"/>
      <w:marBottom w:val="0"/>
      <w:divBdr>
        <w:top w:val="none" w:sz="0" w:space="0" w:color="auto"/>
        <w:left w:val="none" w:sz="0" w:space="0" w:color="auto"/>
        <w:bottom w:val="none" w:sz="0" w:space="0" w:color="auto"/>
        <w:right w:val="none" w:sz="0" w:space="0" w:color="auto"/>
      </w:divBdr>
    </w:div>
    <w:div w:id="1653869075">
      <w:bodyDiv w:val="1"/>
      <w:marLeft w:val="0"/>
      <w:marRight w:val="0"/>
      <w:marTop w:val="0"/>
      <w:marBottom w:val="0"/>
      <w:divBdr>
        <w:top w:val="none" w:sz="0" w:space="0" w:color="auto"/>
        <w:left w:val="none" w:sz="0" w:space="0" w:color="auto"/>
        <w:bottom w:val="none" w:sz="0" w:space="0" w:color="auto"/>
        <w:right w:val="none" w:sz="0" w:space="0" w:color="auto"/>
      </w:divBdr>
    </w:div>
    <w:div w:id="1940216448">
      <w:bodyDiv w:val="1"/>
      <w:marLeft w:val="0"/>
      <w:marRight w:val="0"/>
      <w:marTop w:val="0"/>
      <w:marBottom w:val="0"/>
      <w:divBdr>
        <w:top w:val="none" w:sz="0" w:space="0" w:color="auto"/>
        <w:left w:val="none" w:sz="0" w:space="0" w:color="auto"/>
        <w:bottom w:val="none" w:sz="0" w:space="0" w:color="auto"/>
        <w:right w:val="none" w:sz="0" w:space="0" w:color="auto"/>
      </w:divBdr>
    </w:div>
    <w:div w:id="205462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Microsoft_Excel_Chart2.xls"/><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Microsoft_Excel_Chart4.xls"/><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Microsoft_Excel_Chart3.xls"/><Relationship Id="rId28" Type="http://schemas.openxmlformats.org/officeDocument/2006/relationships/footer" Target="footer1.xml"/><Relationship Id="rId10" Type="http://schemas.openxmlformats.org/officeDocument/2006/relationships/oleObject" Target="embeddings/Microsoft_Excel_Chart1.xls"/><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image" Target="media/image9.emf"/><Relationship Id="rId27" Type="http://schemas.openxmlformats.org/officeDocument/2006/relationships/oleObject" Target="embeddings/oleObject7.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Risk and Risk Aversion</vt:lpstr>
    </vt:vector>
  </TitlesOfParts>
  <Company>Tulane University School of Business</Company>
  <LinksUpToDate>false</LinksUpToDate>
  <CharactersWithSpaces>13841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and Risk Aversion</dc:title>
  <dc:creator>rsonti</dc:creator>
  <cp:lastModifiedBy>wreese</cp:lastModifiedBy>
  <cp:revision>3</cp:revision>
  <cp:lastPrinted>2003-12-14T02:42:00Z</cp:lastPrinted>
  <dcterms:created xsi:type="dcterms:W3CDTF">2016-04-04T21:16:00Z</dcterms:created>
  <dcterms:modified xsi:type="dcterms:W3CDTF">2016-04-04T21:36:00Z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